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EBC" w:rsidRDefault="003B5EBC">
      <w:pPr>
        <w:spacing w:line="240" w:lineRule="auto"/>
        <w:rPr>
          <w:rFonts w:ascii="Calisto MT" w:hAnsi="Calisto MT" w:cstheme="majorHAnsi"/>
          <w:b/>
          <w:bCs/>
          <w:sz w:val="28"/>
          <w:szCs w:val="28"/>
        </w:rPr>
      </w:pPr>
    </w:p>
    <w:p w:rsidR="003B5EBC" w:rsidRDefault="00A1518B">
      <w:pPr>
        <w:spacing w:after="0" w:line="240" w:lineRule="auto"/>
        <w:jc w:val="center"/>
        <w:rPr>
          <w:rFonts w:ascii="Garamond" w:hAnsi="Garamond" w:cstheme="majorBidi"/>
          <w:sz w:val="28"/>
          <w:szCs w:val="28"/>
        </w:rPr>
      </w:pPr>
      <w:r>
        <w:rPr>
          <w:rFonts w:ascii="Garamond" w:hAnsi="Garamond" w:cstheme="majorBidi"/>
          <w:sz w:val="28"/>
          <w:szCs w:val="28"/>
        </w:rPr>
        <w:t>Consolidation du cadre national APA et pilotage des produits et des chaines de valeur innovants dans le domaine des ressources génétiques afin d'améliorer le partage des avantages pour le développement rural durable et la conservation de la biodiversité.</w:t>
      </w:r>
    </w:p>
    <w:p w:rsidR="003B5EBC" w:rsidRDefault="00A1518B">
      <w:pPr>
        <w:tabs>
          <w:tab w:val="left" w:pos="3250"/>
          <w:tab w:val="center" w:pos="4607"/>
        </w:tabs>
        <w:spacing w:after="0" w:line="240" w:lineRule="auto"/>
        <w:rPr>
          <w:rFonts w:ascii="Garamond" w:hAnsi="Garamond" w:cstheme="majorBidi"/>
          <w:sz w:val="28"/>
          <w:szCs w:val="28"/>
        </w:rPr>
      </w:pPr>
      <w:r>
        <w:rPr>
          <w:rFonts w:ascii="Garamond" w:hAnsi="Garamond" w:cstheme="majorBidi"/>
          <w:sz w:val="28"/>
          <w:szCs w:val="28"/>
        </w:rPr>
        <w:tab/>
      </w:r>
      <w:r>
        <w:rPr>
          <w:rFonts w:ascii="Garamond" w:hAnsi="Garamond" w:cstheme="majorBidi"/>
          <w:sz w:val="28"/>
          <w:szCs w:val="28"/>
        </w:rPr>
        <w:tab/>
        <w:t xml:space="preserve"> (APA Nagoya II)</w:t>
      </w:r>
    </w:p>
    <w:p w:rsidR="003B5EBC" w:rsidRDefault="003B5EBC">
      <w:pPr>
        <w:tabs>
          <w:tab w:val="left" w:pos="3250"/>
          <w:tab w:val="center" w:pos="4607"/>
        </w:tabs>
        <w:spacing w:line="240" w:lineRule="auto"/>
        <w:rPr>
          <w:rFonts w:ascii="Calisto MT" w:hAnsi="Calisto MT" w:cstheme="majorHAnsi"/>
          <w:sz w:val="28"/>
          <w:szCs w:val="28"/>
        </w:rPr>
      </w:pPr>
    </w:p>
    <w:p w:rsidR="003B5EBC" w:rsidRDefault="003B5EBC">
      <w:pPr>
        <w:spacing w:line="240" w:lineRule="auto"/>
        <w:jc w:val="center"/>
        <w:rPr>
          <w:rFonts w:ascii="Calisto MT" w:hAnsi="Calisto MT" w:cstheme="majorHAnsi"/>
          <w:sz w:val="28"/>
          <w:szCs w:val="28"/>
        </w:rPr>
      </w:pPr>
    </w:p>
    <w:p w:rsidR="003B5EBC" w:rsidRDefault="00A1518B">
      <w:pPr>
        <w:spacing w:line="240" w:lineRule="auto"/>
        <w:jc w:val="center"/>
        <w:rPr>
          <w:rFonts w:ascii="Garamond" w:hAnsi="Garamond" w:cstheme="majorBidi"/>
          <w:b/>
          <w:bCs/>
          <w:sz w:val="40"/>
          <w:szCs w:val="40"/>
          <w:u w:val="single"/>
        </w:rPr>
      </w:pPr>
      <w:r>
        <w:rPr>
          <w:rFonts w:ascii="Garamond" w:hAnsi="Garamond" w:cstheme="majorBidi"/>
          <w:b/>
          <w:bCs/>
          <w:sz w:val="40"/>
          <w:szCs w:val="40"/>
          <w:u w:val="single"/>
        </w:rPr>
        <w:t xml:space="preserve">Appel à consultation pour : </w:t>
      </w:r>
    </w:p>
    <w:p w:rsidR="003B5EBC" w:rsidRDefault="003B5EBC">
      <w:pPr>
        <w:spacing w:line="240" w:lineRule="auto"/>
        <w:jc w:val="center"/>
        <w:rPr>
          <w:rFonts w:ascii="Garamond" w:hAnsi="Garamond" w:cstheme="majorBidi"/>
          <w:b/>
          <w:bCs/>
          <w:sz w:val="40"/>
          <w:szCs w:val="40"/>
          <w:u w:val="single"/>
        </w:rPr>
      </w:pPr>
    </w:p>
    <w:p w:rsidR="003B5EBC" w:rsidRDefault="000F752F">
      <w:pPr>
        <w:spacing w:line="240" w:lineRule="auto"/>
        <w:jc w:val="center"/>
        <w:rPr>
          <w:rFonts w:ascii="Garamond" w:hAnsi="Garamond" w:cstheme="majorBidi"/>
          <w:b/>
          <w:bCs/>
          <w:sz w:val="40"/>
          <w:szCs w:val="40"/>
          <w:lang w:val="fr-FR"/>
        </w:rPr>
      </w:pPr>
      <w:bookmarkStart w:id="0" w:name="_Hlk216189960"/>
      <w:r>
        <w:rPr>
          <w:rFonts w:ascii="Garamond" w:hAnsi="Garamond" w:cstheme="majorBidi"/>
          <w:b/>
          <w:bCs/>
          <w:sz w:val="40"/>
          <w:szCs w:val="40"/>
        </w:rPr>
        <w:t xml:space="preserve">Développement et </w:t>
      </w:r>
      <w:r>
        <w:rPr>
          <w:rFonts w:ascii="Garamond" w:hAnsi="Garamond" w:cstheme="majorBidi"/>
          <w:b/>
          <w:bCs/>
          <w:sz w:val="40"/>
          <w:szCs w:val="40"/>
          <w:lang w:val="fr-FR"/>
        </w:rPr>
        <w:t>m</w:t>
      </w:r>
      <w:r w:rsidR="00A1518B">
        <w:rPr>
          <w:rFonts w:ascii="Garamond" w:hAnsi="Garamond" w:cstheme="majorBidi"/>
          <w:b/>
          <w:bCs/>
          <w:sz w:val="40"/>
          <w:szCs w:val="40"/>
        </w:rPr>
        <w:t>ise en place d’un système électronique normalisé de demande de permis APA pour l’accès aux ressources génétiques au Maroc</w:t>
      </w:r>
    </w:p>
    <w:p w:rsidR="003B5EBC" w:rsidRDefault="003B5EBC">
      <w:pPr>
        <w:spacing w:line="240" w:lineRule="auto"/>
        <w:jc w:val="center"/>
        <w:rPr>
          <w:rFonts w:ascii="Garamond" w:hAnsi="Garamond" w:cstheme="majorBidi"/>
          <w:b/>
          <w:bCs/>
          <w:sz w:val="40"/>
          <w:szCs w:val="40"/>
          <w:lang w:val="fr-FR"/>
        </w:rPr>
      </w:pPr>
    </w:p>
    <w:p w:rsidR="003B5EBC" w:rsidRDefault="003B5EBC">
      <w:pPr>
        <w:spacing w:line="240" w:lineRule="auto"/>
        <w:jc w:val="center"/>
        <w:rPr>
          <w:rFonts w:ascii="Calisto MT" w:hAnsi="Calisto MT" w:cstheme="majorHAnsi"/>
          <w:b/>
          <w:bCs/>
          <w:sz w:val="40"/>
          <w:szCs w:val="40"/>
          <w:lang w:val="fr-FR"/>
        </w:rPr>
      </w:pPr>
    </w:p>
    <w:p w:rsidR="003B5EBC" w:rsidRDefault="003B5EBC">
      <w:pPr>
        <w:spacing w:line="240" w:lineRule="auto"/>
        <w:jc w:val="center"/>
        <w:rPr>
          <w:rFonts w:ascii="Calisto MT" w:hAnsi="Calisto MT" w:cstheme="majorHAnsi"/>
          <w:b/>
          <w:bCs/>
          <w:sz w:val="40"/>
          <w:szCs w:val="40"/>
          <w:lang w:val="fr-FR"/>
        </w:rPr>
      </w:pPr>
    </w:p>
    <w:bookmarkEnd w:id="0"/>
    <w:p w:rsidR="003B5EBC" w:rsidRDefault="00A1518B">
      <w:pPr>
        <w:spacing w:line="240" w:lineRule="auto"/>
        <w:jc w:val="center"/>
        <w:rPr>
          <w:rFonts w:ascii="Garamond" w:hAnsi="Garamond" w:cstheme="majorBidi"/>
          <w:sz w:val="24"/>
          <w:szCs w:val="24"/>
        </w:rPr>
      </w:pPr>
      <w:r>
        <w:rPr>
          <w:rFonts w:ascii="Garamond" w:hAnsi="Garamond" w:cstheme="majorBidi"/>
          <w:b/>
          <w:bCs/>
          <w:sz w:val="24"/>
          <w:szCs w:val="24"/>
        </w:rPr>
        <w:t>Référence :</w:t>
      </w:r>
      <w:r>
        <w:rPr>
          <w:rFonts w:ascii="Garamond" w:hAnsi="Garamond" w:cstheme="majorBidi"/>
          <w:sz w:val="24"/>
          <w:szCs w:val="24"/>
        </w:rPr>
        <w:t xml:space="preserve"> </w:t>
      </w:r>
      <w:r>
        <w:rPr>
          <w:rFonts w:ascii="Garamond" w:hAnsi="Garamond" w:cstheme="majorBidi"/>
          <w:sz w:val="24"/>
          <w:szCs w:val="24"/>
          <w:lang w:val="fr-FR"/>
        </w:rPr>
        <w:t>Quantum Project ID 01000687</w:t>
      </w:r>
      <w:r>
        <w:rPr>
          <w:rFonts w:ascii="Garamond" w:hAnsi="Garamond" w:cstheme="majorBidi"/>
          <w:sz w:val="24"/>
          <w:szCs w:val="24"/>
        </w:rPr>
        <w:t xml:space="preserve"> </w:t>
      </w:r>
    </w:p>
    <w:p w:rsidR="003B5EBC" w:rsidRDefault="003B5EBC">
      <w:pPr>
        <w:spacing w:line="240" w:lineRule="auto"/>
        <w:jc w:val="center"/>
        <w:rPr>
          <w:rFonts w:asciiTheme="majorBidi" w:hAnsiTheme="majorBidi" w:cstheme="majorBidi"/>
          <w:sz w:val="24"/>
          <w:szCs w:val="24"/>
        </w:rPr>
      </w:pPr>
    </w:p>
    <w:p w:rsidR="003B5EBC" w:rsidRDefault="00A1518B">
      <w:pPr>
        <w:spacing w:line="240" w:lineRule="auto"/>
        <w:jc w:val="center"/>
        <w:rPr>
          <w:rFonts w:ascii="Garamond" w:hAnsi="Garamond" w:cstheme="majorBidi"/>
          <w:b/>
          <w:bCs/>
          <w:color w:val="0070C0"/>
          <w:sz w:val="48"/>
          <w:szCs w:val="48"/>
        </w:rPr>
      </w:pPr>
      <w:r>
        <w:rPr>
          <w:rFonts w:ascii="Garamond" w:hAnsi="Garamond" w:cstheme="majorBidi"/>
          <w:b/>
          <w:bCs/>
          <w:color w:val="0070C0"/>
          <w:sz w:val="48"/>
          <w:szCs w:val="48"/>
        </w:rPr>
        <w:t>TERMES DE RÉFÉRENCES</w:t>
      </w:r>
    </w:p>
    <w:p w:rsidR="003B5EBC" w:rsidRDefault="003B5EBC">
      <w:pPr>
        <w:spacing w:line="240" w:lineRule="auto"/>
        <w:jc w:val="both"/>
        <w:rPr>
          <w:rFonts w:ascii="Calisto MT" w:hAnsi="Calisto MT" w:cstheme="majorHAnsi"/>
          <w:sz w:val="24"/>
          <w:szCs w:val="24"/>
        </w:rPr>
      </w:pPr>
    </w:p>
    <w:p w:rsidR="003B5EBC" w:rsidRDefault="003B5EBC">
      <w:pPr>
        <w:spacing w:line="240" w:lineRule="auto"/>
        <w:jc w:val="both"/>
        <w:rPr>
          <w:rFonts w:ascii="Calisto MT" w:eastAsiaTheme="minorEastAsia" w:hAnsi="Calisto MT" w:cstheme="majorHAnsi"/>
          <w:sz w:val="24"/>
          <w:szCs w:val="24"/>
          <w:lang w:eastAsia="zh-CN"/>
        </w:rPr>
      </w:pPr>
    </w:p>
    <w:p w:rsidR="003B5EBC" w:rsidRDefault="003B5EBC">
      <w:pPr>
        <w:spacing w:line="240" w:lineRule="auto"/>
        <w:jc w:val="both"/>
        <w:rPr>
          <w:rFonts w:ascii="Calisto MT" w:eastAsiaTheme="minorEastAsia" w:hAnsi="Calisto MT" w:cstheme="majorHAnsi"/>
          <w:sz w:val="24"/>
          <w:szCs w:val="24"/>
          <w:lang w:eastAsia="zh-CN"/>
        </w:rPr>
      </w:pPr>
    </w:p>
    <w:p w:rsidR="003B5EBC" w:rsidRDefault="00A1518B">
      <w:pPr>
        <w:spacing w:line="240" w:lineRule="auto"/>
        <w:jc w:val="both"/>
        <w:rPr>
          <w:rFonts w:ascii="Garamond" w:hAnsi="Garamond" w:cstheme="majorBidi"/>
          <w:sz w:val="24"/>
          <w:szCs w:val="24"/>
        </w:rPr>
      </w:pPr>
      <w:r>
        <w:rPr>
          <w:rFonts w:ascii="Garamond" w:hAnsi="Garamond" w:cstheme="majorBidi"/>
          <w:sz w:val="24"/>
          <w:szCs w:val="24"/>
        </w:rPr>
        <w:t xml:space="preserve">Toute demande d’éclaircissements doit être envoyée par courrier électronique à l’adresse :  </w:t>
      </w:r>
      <w:hyperlink r:id="rId9" w:history="1">
        <w:r>
          <w:rPr>
            <w:rStyle w:val="Lienhypertexte"/>
            <w:rFonts w:ascii="Garamond" w:hAnsi="Garamond" w:cstheme="majorBidi"/>
            <w:sz w:val="24"/>
            <w:szCs w:val="24"/>
          </w:rPr>
          <w:t>projetapaii@environnement.gov.ma</w:t>
        </w:r>
      </w:hyperlink>
      <w:r>
        <w:rPr>
          <w:rFonts w:ascii="Garamond" w:hAnsi="Garamond" w:cstheme="majorBidi"/>
          <w:sz w:val="24"/>
          <w:szCs w:val="24"/>
        </w:rPr>
        <w:t xml:space="preserve"> . L’équipe du projet répondra par courrier électronique, et enverra à tous les soumissionnaires les copies des réponses écrites avec toutes les clarifications nécessaires, sans mentionner l’auteur de la question.</w:t>
      </w:r>
    </w:p>
    <w:p w:rsidR="003B5EBC" w:rsidRDefault="003B5EBC">
      <w:pPr>
        <w:spacing w:line="240" w:lineRule="auto"/>
        <w:jc w:val="both"/>
        <w:rPr>
          <w:rFonts w:ascii="Garamond" w:hAnsi="Garamond" w:cstheme="majorBidi"/>
          <w:b/>
          <w:bCs/>
          <w:sz w:val="28"/>
          <w:szCs w:val="28"/>
          <w:u w:val="single"/>
        </w:rPr>
      </w:pPr>
    </w:p>
    <w:p w:rsidR="003B5EBC" w:rsidRDefault="00A1518B" w:rsidP="007A0637">
      <w:pPr>
        <w:spacing w:line="240" w:lineRule="auto"/>
        <w:jc w:val="both"/>
        <w:rPr>
          <w:rFonts w:ascii="Garamond" w:hAnsi="Garamond" w:cstheme="majorBidi"/>
          <w:b/>
          <w:bCs/>
          <w:sz w:val="28"/>
          <w:szCs w:val="28"/>
          <w:u w:val="single"/>
          <w:lang w:val="fr-FR"/>
        </w:rPr>
      </w:pPr>
      <w:r>
        <w:rPr>
          <w:rFonts w:ascii="Garamond" w:hAnsi="Garamond" w:cstheme="majorBidi"/>
          <w:b/>
          <w:bCs/>
          <w:sz w:val="28"/>
          <w:szCs w:val="28"/>
          <w:u w:val="single"/>
        </w:rPr>
        <w:lastRenderedPageBreak/>
        <w:t xml:space="preserve">Contexte de l’étude : </w:t>
      </w:r>
    </w:p>
    <w:p w:rsidR="007A0637" w:rsidRPr="007A0637" w:rsidRDefault="007A0637" w:rsidP="007A0637">
      <w:pPr>
        <w:spacing w:line="240" w:lineRule="auto"/>
        <w:jc w:val="both"/>
        <w:rPr>
          <w:rFonts w:ascii="Garamond" w:hAnsi="Garamond" w:cstheme="majorBidi"/>
          <w:b/>
          <w:bCs/>
          <w:sz w:val="28"/>
          <w:szCs w:val="28"/>
          <w:u w:val="single"/>
          <w:lang w:val="fr-FR"/>
        </w:rPr>
      </w:pPr>
    </w:p>
    <w:p w:rsidR="003B5EBC" w:rsidRDefault="00A1518B">
      <w:pPr>
        <w:jc w:val="both"/>
        <w:rPr>
          <w:rFonts w:ascii="Garamond" w:hAnsi="Garamond" w:cstheme="majorBidi"/>
          <w:sz w:val="24"/>
          <w:szCs w:val="24"/>
        </w:rPr>
      </w:pPr>
      <w:r>
        <w:rPr>
          <w:rFonts w:ascii="Garamond" w:hAnsi="Garamond" w:cstheme="majorBidi"/>
          <w:sz w:val="24"/>
          <w:szCs w:val="24"/>
          <w:lang w:val="fr-FR"/>
        </w:rPr>
        <w:t xml:space="preserve">Le </w:t>
      </w:r>
      <w:r>
        <w:rPr>
          <w:rFonts w:ascii="Garamond" w:hAnsi="Garamond" w:cstheme="majorBidi"/>
          <w:sz w:val="24"/>
          <w:szCs w:val="24"/>
        </w:rPr>
        <w:t>Maroc est engagé dans la mise en œuvre du Protocole de Nagoya sur l’Accès aux ressources génétiques et le Partage juste et équitable des Avantages découlant de leur utilisation, communément désigné par l’Accès et le Partage des Avantages, APA. Ce processus vise à renforcer le cadre national de gouvernance des ressources génétiques, à encadrer les conditions d’accès à ces ressources, à garantir la conformité des utilisations, ainsi qu’à assurer une répartition équitable des avantages issus de leur valorisation.</w:t>
      </w:r>
    </w:p>
    <w:p w:rsidR="003B5EBC" w:rsidRDefault="00A1518B">
      <w:pPr>
        <w:jc w:val="both"/>
        <w:rPr>
          <w:rFonts w:ascii="Garamond" w:hAnsi="Garamond" w:cstheme="majorBidi"/>
          <w:sz w:val="24"/>
          <w:szCs w:val="24"/>
        </w:rPr>
      </w:pPr>
      <w:r>
        <w:rPr>
          <w:rFonts w:ascii="Garamond" w:hAnsi="Garamond" w:cstheme="majorBidi"/>
          <w:sz w:val="24"/>
          <w:szCs w:val="24"/>
        </w:rPr>
        <w:t>Dans ce cadre, le projet APA Nagoya II prévoit le renforcement du système national de gestion de l’information APA, notamment à travers le développement d’un système électronique normalisé de demande de permis en ligne. La présente prestation s’inscrit dans cette dynamique et vise à la conception, le développement et l’opérationnalisation d’un dispositif numérique permettant de structurer, centraliser et faciliter la gestion des demandes d’accès aux ressources génétiques au Maroc.</w:t>
      </w:r>
    </w:p>
    <w:p w:rsidR="003B5EBC" w:rsidRDefault="00A1518B">
      <w:pPr>
        <w:jc w:val="both"/>
        <w:rPr>
          <w:rFonts w:ascii="Garamond" w:hAnsi="Garamond" w:cstheme="majorBidi"/>
          <w:sz w:val="24"/>
          <w:szCs w:val="24"/>
        </w:rPr>
      </w:pPr>
      <w:r>
        <w:rPr>
          <w:rFonts w:ascii="Garamond" w:hAnsi="Garamond" w:cstheme="majorBidi"/>
          <w:sz w:val="24"/>
          <w:szCs w:val="24"/>
        </w:rPr>
        <w:t>Actuellement, le Maroc ne dispose pas encore d’une procédure électronique spécifique et normalisée pour la gestion des demandes de permis APA. Les procédures existantes demeurent essentiellement manuelles et sur support papier, avec des circuits administratifs variables selon les départements et les institutions concernés. Cette situation peut entraîner une fragmentation des processus, une complexité dans le traitement des demandes, des délais difficilement harmonisés, ainsi qu’une traçabilité limitée des décisions, des échanges et des étapes d’instruction.</w:t>
      </w:r>
    </w:p>
    <w:p w:rsidR="003B5EBC" w:rsidRDefault="00A1518B">
      <w:pPr>
        <w:jc w:val="both"/>
        <w:rPr>
          <w:rFonts w:ascii="Garamond" w:hAnsi="Garamond" w:cstheme="majorBidi"/>
          <w:sz w:val="24"/>
          <w:szCs w:val="24"/>
        </w:rPr>
      </w:pPr>
      <w:r>
        <w:rPr>
          <w:rFonts w:ascii="Garamond" w:hAnsi="Garamond" w:cstheme="majorBidi"/>
          <w:sz w:val="24"/>
          <w:szCs w:val="24"/>
        </w:rPr>
        <w:t>Par ailleurs, l’accès aux ressources génétiques peut impliquer plusieurs autorités et institutions nationales compétentes, selon la nature des ressources concernées, les écosystèmes visés, les zones géographiques, les usages envisagés et les cadres réglementaires applicables. Cette pluralité d’acteurs rend nécessaire la mise en place d’un mécanisme coordonné, harmonisé et lisible, permettant de clarifier les rôles et responsabilités, de structurer les circuits de traitement et d’assurer un partage efficace de l’information entre les institutions concernées.</w:t>
      </w:r>
    </w:p>
    <w:p w:rsidR="003B5EBC" w:rsidRDefault="00A1518B">
      <w:pPr>
        <w:jc w:val="both"/>
        <w:rPr>
          <w:rFonts w:ascii="Garamond" w:hAnsi="Garamond" w:cstheme="majorBidi"/>
          <w:sz w:val="24"/>
          <w:szCs w:val="24"/>
        </w:rPr>
      </w:pPr>
      <w:r>
        <w:rPr>
          <w:rFonts w:ascii="Garamond" w:hAnsi="Garamond" w:cstheme="majorBidi"/>
          <w:sz w:val="24"/>
          <w:szCs w:val="24"/>
        </w:rPr>
        <w:t xml:space="preserve">Le système envisagé devra ainsi prendre la forme d’un </w:t>
      </w:r>
      <w:r>
        <w:rPr>
          <w:rFonts w:ascii="Garamond" w:hAnsi="Garamond" w:cstheme="majorBidi"/>
          <w:b/>
          <w:bCs/>
          <w:sz w:val="24"/>
          <w:szCs w:val="24"/>
        </w:rPr>
        <w:t>guichet unique électronique</w:t>
      </w:r>
      <w:r>
        <w:rPr>
          <w:rFonts w:ascii="Garamond" w:hAnsi="Garamond" w:cstheme="majorBidi"/>
          <w:sz w:val="24"/>
          <w:szCs w:val="24"/>
        </w:rPr>
        <w:t xml:space="preserve"> permettant aux bioprospecteurs nationaux, régionaux et internationaux de soumettre leurs demandes d’accès aux ressources génétiques à travers un canal centralisé. Il devra également permettre aux autorités compétentes d’examiner, traiter, approuver, suivre et documenter les demandes, tout en facilitant le suivi de la conformité, la production de données utiles au reporting national et l’harmonisation progressive des procédures techniques entre les départements concernés.</w:t>
      </w:r>
    </w:p>
    <w:p w:rsidR="003B5EBC" w:rsidRDefault="00A1518B">
      <w:pPr>
        <w:jc w:val="both"/>
      </w:pPr>
      <w:r>
        <w:rPr>
          <w:rFonts w:ascii="Garamond" w:hAnsi="Garamond" w:cstheme="majorBidi"/>
          <w:sz w:val="24"/>
          <w:szCs w:val="24"/>
        </w:rPr>
        <w:t xml:space="preserve">La prestation devra intégrer une analyse approfondie du </w:t>
      </w:r>
      <w:r>
        <w:t xml:space="preserve"> </w:t>
      </w:r>
      <w:hyperlink r:id="rId10" w:history="1">
        <w:r>
          <w:rPr>
            <w:rStyle w:val="Lienhypertexte"/>
            <w:rFonts w:ascii="Garamond" w:hAnsi="Garamond"/>
            <w:sz w:val="24"/>
            <w:szCs w:val="24"/>
          </w:rPr>
          <w:t>Cadre r</w:t>
        </w:r>
        <w:r>
          <w:rPr>
            <w:rStyle w:val="Lienhypertexte"/>
            <w:rFonts w:ascii="Garamond" w:eastAsia="Malgun Gothic" w:hAnsi="Garamond" w:cs="Malgun Gothic"/>
            <w:sz w:val="24"/>
            <w:szCs w:val="24"/>
          </w:rPr>
          <w:t>é</w:t>
        </w:r>
        <w:r>
          <w:rPr>
            <w:rStyle w:val="Lienhypertexte"/>
            <w:rFonts w:ascii="Garamond" w:hAnsi="Garamond"/>
            <w:sz w:val="24"/>
            <w:szCs w:val="24"/>
          </w:rPr>
          <w:t>glementaire national de l'APA</w:t>
        </w:r>
      </w:hyperlink>
      <w:r>
        <w:t xml:space="preserve"> </w:t>
      </w:r>
      <w:r>
        <w:rPr>
          <w:rFonts w:ascii="Garamond" w:hAnsi="Garamond" w:cstheme="majorBidi"/>
          <w:sz w:val="24"/>
          <w:szCs w:val="24"/>
        </w:rPr>
        <w:t>en cours de finalisation, en vue de traduire ses dispositions pertinentes en processus opérationnels, schémas fonctionnels et exigences techniques pour le futur système électronique de permis APA. Cette analyse devra permettre d’identifier les étapes du processus d’octroi d’accès, les responsabilités des différentes autorités concernées, les circuits de validation, les délais de traitement, les modalités de coordination, ainsi que les informations et pièces justificatives à intégrer dans le système. Elle devra également aboutir à des schémas fonctionnels clairs, couvrant le parcours de demande, d’instruction, d’approbation, de notification et de suivi des permis APA.</w:t>
      </w:r>
    </w:p>
    <w:p w:rsidR="003B5EBC" w:rsidRDefault="00A1518B">
      <w:pPr>
        <w:jc w:val="both"/>
        <w:rPr>
          <w:rFonts w:ascii="Garamond" w:hAnsi="Garamond" w:cstheme="majorBidi"/>
          <w:sz w:val="24"/>
          <w:szCs w:val="24"/>
        </w:rPr>
      </w:pPr>
      <w:r>
        <w:rPr>
          <w:rFonts w:ascii="Garamond" w:hAnsi="Garamond" w:cstheme="majorBidi"/>
          <w:sz w:val="24"/>
          <w:szCs w:val="24"/>
        </w:rPr>
        <w:lastRenderedPageBreak/>
        <w:t xml:space="preserve">Le système électronique normalisé de permis APA devra être conçu en complémentarité avec le CHM Biodiversité du Maroc </w:t>
      </w:r>
      <w:hyperlink r:id="rId11" w:history="1">
        <w:r>
          <w:rPr>
            <w:rStyle w:val="Lienhypertexte"/>
            <w:rFonts w:ascii="Garamond" w:hAnsi="Garamond" w:cstheme="majorBidi"/>
            <w:sz w:val="24"/>
            <w:szCs w:val="24"/>
            <w:lang w:val="fr-FR"/>
          </w:rPr>
          <w:t>https://ma.chm-cbd.ne</w:t>
        </w:r>
      </w:hyperlink>
      <w:r>
        <w:rPr>
          <w:rStyle w:val="Lienhypertexte"/>
          <w:rFonts w:ascii="Garamond" w:hAnsi="Garamond" w:cstheme="majorBidi"/>
          <w:sz w:val="24"/>
          <w:szCs w:val="24"/>
          <w:lang w:val="fr-FR"/>
        </w:rPr>
        <w:t>t</w:t>
      </w:r>
      <w:r>
        <w:rPr>
          <w:rFonts w:ascii="Garamond" w:hAnsi="Garamond" w:cstheme="majorBidi"/>
          <w:sz w:val="24"/>
          <w:szCs w:val="24"/>
        </w:rPr>
        <w:t xml:space="preserve">, notamment sa composante APA/Protocole de Nagoya </w:t>
      </w:r>
      <w:hyperlink r:id="rId12" w:history="1">
        <w:r>
          <w:rPr>
            <w:rStyle w:val="Lienhypertexte"/>
            <w:rFonts w:ascii="Garamond" w:hAnsi="Garamond" w:cstheme="majorBidi"/>
            <w:sz w:val="24"/>
            <w:szCs w:val="24"/>
            <w:lang w:val="fr-FR"/>
          </w:rPr>
          <w:t>https://ma.chm-cbd.net/protocole-nagoya</w:t>
        </w:r>
      </w:hyperlink>
      <w:r>
        <w:rPr>
          <w:rFonts w:ascii="Garamond" w:hAnsi="Garamond" w:cstheme="majorBidi"/>
          <w:sz w:val="24"/>
          <w:szCs w:val="24"/>
        </w:rPr>
        <w:t>, afin de faciliter l’accès à l’information sur les ressources génétiques, les procédures d’accès, les exigences réglementaires et les mécanismes de suivi et de reporting.</w:t>
      </w:r>
    </w:p>
    <w:p w:rsidR="003B5EBC" w:rsidRDefault="00A1518B">
      <w:pPr>
        <w:jc w:val="both"/>
        <w:rPr>
          <w:rFonts w:ascii="Garamond" w:hAnsi="Garamond" w:cstheme="majorBidi"/>
          <w:sz w:val="24"/>
          <w:szCs w:val="24"/>
        </w:rPr>
      </w:pPr>
      <w:r>
        <w:rPr>
          <w:rFonts w:ascii="Garamond" w:hAnsi="Garamond" w:cstheme="majorBidi"/>
          <w:sz w:val="24"/>
          <w:szCs w:val="24"/>
        </w:rPr>
        <w:t>Il sera hébergé par le Ministère de la Transition Énergétique et du Développement Durable / Département du Développement Durable, qui assurera un rôle central dans la coordination institutionnelle et le secrétariat du dispositif national relatif aux ressources génétiques. Son développement devra donc tenir compte de l’environnement informatique du ministère, des exigences de sécurité, de confidentialité et de protection des données, ainsi que des contraintes techniques liées à l’hébergement, à la maintenance, à l’administration et à l’exploitation durable de la plateforme.</w:t>
      </w:r>
    </w:p>
    <w:p w:rsidR="003B5EBC" w:rsidRDefault="00A1518B">
      <w:pPr>
        <w:jc w:val="both"/>
        <w:rPr>
          <w:rFonts w:ascii="Garamond" w:hAnsi="Garamond" w:cstheme="majorBidi"/>
          <w:sz w:val="24"/>
          <w:szCs w:val="24"/>
        </w:rPr>
      </w:pPr>
      <w:r>
        <w:rPr>
          <w:rFonts w:ascii="Garamond" w:hAnsi="Garamond" w:cstheme="majorBidi"/>
          <w:sz w:val="24"/>
          <w:szCs w:val="24"/>
        </w:rPr>
        <w:t>Par ailleurs, la conception et la mise en place du système devront être coordonnées, le cas échéant, avec le Ministère de la Transition Numérique et de la Réforme de l’Administration, afin d’assurer son alignement avec les orientations nationales en matière de digitalisation des services publics et de modernisation de l’administration. Cette coordination permettra également de garantir que le futur système s’inscrive dans une logique de cohérence avec les standards nationaux de transformation numérique, d’interopérabilité et d’amélioration de la qualité des services rendus aux usagers.</w:t>
      </w:r>
    </w:p>
    <w:p w:rsidR="003B5EBC" w:rsidRDefault="00A1518B">
      <w:pPr>
        <w:jc w:val="both"/>
        <w:rPr>
          <w:rFonts w:ascii="Garamond" w:hAnsi="Garamond" w:cstheme="majorBidi"/>
          <w:sz w:val="24"/>
          <w:szCs w:val="24"/>
        </w:rPr>
      </w:pPr>
      <w:r>
        <w:rPr>
          <w:rFonts w:ascii="Garamond" w:hAnsi="Garamond" w:cstheme="majorBidi"/>
          <w:sz w:val="24"/>
          <w:szCs w:val="24"/>
        </w:rPr>
        <w:t>Dans ce contexte, la présente prestation devra couvrir à la fois les dimensions juridique, institutionnelle, procédurale, fonctionnelle et technique du futur système. Elle comprendra notamment un benchmark national et international des expériences similaires, l’évaluation des besoins logiciels, matériels, humains et de formation, la définition des schémas de fonctionnement, le développement et la mise en ligne de la plateforme, les tests, la validation, l’élaboration d’un manuel utilisateur et le transfert de compétences nécessaires à son opérationnalisation.</w:t>
      </w:r>
    </w:p>
    <w:p w:rsidR="003B5EBC" w:rsidRDefault="00A1518B">
      <w:pPr>
        <w:jc w:val="both"/>
        <w:rPr>
          <w:rFonts w:ascii="Garamond" w:hAnsi="Garamond" w:cstheme="majorBidi"/>
          <w:sz w:val="24"/>
          <w:szCs w:val="24"/>
        </w:rPr>
      </w:pPr>
      <w:r>
        <w:rPr>
          <w:rFonts w:ascii="Garamond" w:hAnsi="Garamond" w:cstheme="majorBidi"/>
          <w:sz w:val="24"/>
          <w:szCs w:val="24"/>
        </w:rPr>
        <w:t xml:space="preserve">Cette initiative est en cohérence avec l’article 22 du Protocole de Nagoya </w:t>
      </w:r>
      <w:hyperlink r:id="rId13" w:history="1">
        <w:r>
          <w:rPr>
            <w:rStyle w:val="Lienhypertexte"/>
            <w:rFonts w:ascii="Garamond" w:hAnsi="Garamond" w:cstheme="majorBidi"/>
            <w:sz w:val="24"/>
            <w:szCs w:val="24"/>
          </w:rPr>
          <w:t>https://www.cbd.int/abs/text/articles?sec=abs-22</w:t>
        </w:r>
      </w:hyperlink>
      <w:r>
        <w:rPr>
          <w:rFonts w:ascii="Garamond" w:hAnsi="Garamond" w:cstheme="majorBidi"/>
          <w:sz w:val="24"/>
          <w:szCs w:val="24"/>
        </w:rPr>
        <w:t xml:space="preserve"> , relatif au renforcement des capacités, qui encourage l’utilisation des meilleurs outils de communication et des systèmes fondés sur Internet pour faciliter les activités d’accès et de partage des avantages. À terme, le système électronique de permis APA devra contribuer à rendre le processus d’accès aux ressources génétiques plus lisible, plus efficace, plus transparent et mieux coordonné, tout en renforçant la capacité du Maroc à assurer le suivi, la conformité et le reporting liés à la mise en œuvre du Protocole de Nagoya.</w:t>
      </w:r>
    </w:p>
    <w:p w:rsidR="003B5EBC" w:rsidRDefault="003B5EBC">
      <w:pPr>
        <w:jc w:val="both"/>
        <w:rPr>
          <w:rFonts w:asciiTheme="majorBidi" w:hAnsiTheme="majorBidi" w:cstheme="majorBidi"/>
        </w:rPr>
      </w:pPr>
    </w:p>
    <w:p w:rsidR="003B5EBC" w:rsidRDefault="003B5EBC">
      <w:pPr>
        <w:jc w:val="both"/>
        <w:rPr>
          <w:rFonts w:asciiTheme="majorBidi" w:hAnsiTheme="majorBidi" w:cstheme="majorBidi"/>
        </w:rPr>
      </w:pPr>
    </w:p>
    <w:p w:rsidR="003B5EBC" w:rsidRDefault="003B5EBC">
      <w:pPr>
        <w:jc w:val="both"/>
        <w:rPr>
          <w:rFonts w:asciiTheme="majorBidi" w:hAnsiTheme="majorBidi" w:cstheme="majorBidi"/>
        </w:rPr>
      </w:pPr>
    </w:p>
    <w:p w:rsidR="003B5EBC" w:rsidRDefault="003B5EBC">
      <w:pPr>
        <w:jc w:val="both"/>
        <w:rPr>
          <w:rFonts w:asciiTheme="majorBidi" w:hAnsiTheme="majorBidi" w:cstheme="majorBidi"/>
        </w:rPr>
      </w:pPr>
    </w:p>
    <w:p w:rsidR="003B5EBC" w:rsidRDefault="00A1518B">
      <w:pPr>
        <w:pStyle w:val="Paragraphedeliste"/>
        <w:numPr>
          <w:ilvl w:val="0"/>
          <w:numId w:val="1"/>
        </w:numPr>
        <w:spacing w:before="240" w:after="240"/>
        <w:ind w:left="567" w:hanging="210"/>
        <w:contextualSpacing w:val="0"/>
        <w:rPr>
          <w:rFonts w:ascii="Garamond" w:hAnsi="Garamond" w:cstheme="majorBidi"/>
          <w:b/>
          <w:bCs/>
          <w:sz w:val="28"/>
          <w:szCs w:val="28"/>
          <w:u w:val="single"/>
        </w:rPr>
      </w:pPr>
      <w:r>
        <w:rPr>
          <w:rFonts w:ascii="Garamond" w:hAnsi="Garamond" w:cstheme="majorBidi"/>
          <w:b/>
          <w:bCs/>
          <w:sz w:val="28"/>
          <w:szCs w:val="28"/>
          <w:u w:val="single"/>
          <w:lang w:val="fr-FR"/>
        </w:rPr>
        <w:t>Objectif de la prestation</w:t>
      </w:r>
      <w:r>
        <w:rPr>
          <w:rFonts w:ascii="Garamond" w:hAnsi="Garamond" w:cstheme="majorBidi"/>
          <w:b/>
          <w:bCs/>
          <w:sz w:val="28"/>
          <w:szCs w:val="28"/>
          <w:u w:val="single"/>
        </w:rPr>
        <w:t xml:space="preserve"> :</w:t>
      </w:r>
    </w:p>
    <w:p w:rsidR="003B5EBC" w:rsidRDefault="00A1518B">
      <w:pPr>
        <w:pStyle w:val="Paragraphedeliste"/>
        <w:numPr>
          <w:ilvl w:val="0"/>
          <w:numId w:val="2"/>
        </w:numPr>
        <w:spacing w:before="240" w:after="240"/>
        <w:ind w:left="426" w:hanging="284"/>
        <w:contextualSpacing w:val="0"/>
        <w:jc w:val="both"/>
        <w:rPr>
          <w:rFonts w:ascii="Garamond" w:hAnsi="Garamond" w:cstheme="majorBidi"/>
          <w:b/>
          <w:bCs/>
          <w:sz w:val="26"/>
          <w:szCs w:val="26"/>
        </w:rPr>
      </w:pPr>
      <w:r>
        <w:rPr>
          <w:rFonts w:ascii="Garamond" w:hAnsi="Garamond" w:cstheme="majorBidi"/>
          <w:b/>
          <w:bCs/>
          <w:sz w:val="26"/>
          <w:szCs w:val="26"/>
        </w:rPr>
        <w:t>Objectif général :</w:t>
      </w:r>
    </w:p>
    <w:p w:rsidR="003B5EBC" w:rsidRDefault="00A1518B">
      <w:pPr>
        <w:spacing w:line="240" w:lineRule="auto"/>
        <w:jc w:val="both"/>
        <w:rPr>
          <w:rFonts w:ascii="Garamond" w:hAnsi="Garamond" w:cstheme="majorBidi"/>
          <w:sz w:val="24"/>
          <w:szCs w:val="24"/>
        </w:rPr>
      </w:pPr>
      <w:r>
        <w:rPr>
          <w:rFonts w:ascii="Garamond" w:hAnsi="Garamond" w:cstheme="majorBidi"/>
          <w:sz w:val="24"/>
          <w:szCs w:val="24"/>
        </w:rPr>
        <w:lastRenderedPageBreak/>
        <w:t>L’objectif général de la prestation est de concevoir, développer et rendre opérationnel un système électronique normalisé de demande de permis APA pour l’accès aux ressources génétiques au Maroc</w:t>
      </w:r>
      <w:r>
        <w:rPr>
          <w:rFonts w:ascii="Garamond" w:hAnsi="Garamond" w:cstheme="majorBidi"/>
          <w:sz w:val="24"/>
          <w:szCs w:val="24"/>
          <w:lang w:val="fr-FR"/>
        </w:rPr>
        <w:t xml:space="preserve"> et leurs utilisations</w:t>
      </w:r>
      <w:r>
        <w:rPr>
          <w:rFonts w:ascii="Garamond" w:hAnsi="Garamond" w:cstheme="majorBidi"/>
          <w:sz w:val="24"/>
          <w:szCs w:val="24"/>
        </w:rPr>
        <w:t>, sous forme de guichet unique numérique, permettant aux bioprospecteurs nationaux, régionaux et internationaux de soumettre leurs demandes de manière simplifiée, et aux autorités nationales compétentes d’examiner, traiter, approuver, suivre et documenter ces demandes de façon harmonisée, transparente et traçable.</w:t>
      </w:r>
    </w:p>
    <w:p w:rsidR="003B5EBC" w:rsidRDefault="00A1518B">
      <w:pPr>
        <w:spacing w:line="240" w:lineRule="auto"/>
        <w:jc w:val="both"/>
        <w:rPr>
          <w:rFonts w:ascii="Garamond" w:hAnsi="Garamond" w:cstheme="majorBidi"/>
          <w:sz w:val="24"/>
          <w:szCs w:val="24"/>
        </w:rPr>
      </w:pPr>
      <w:r>
        <w:rPr>
          <w:rFonts w:ascii="Garamond" w:hAnsi="Garamond" w:cstheme="majorBidi"/>
          <w:sz w:val="24"/>
          <w:szCs w:val="24"/>
        </w:rPr>
        <w:t xml:space="preserve">Le système devra également permettre de renforcer la coordination entre les institutions concernées, d’assurer le suivi de la conformité, de faciliter le reporting lié à la mise en œuvre du Protocole de Nagoya, en tenant compte du cadre juridique national, notamment à travers la décortication du </w:t>
      </w:r>
      <w:hyperlink r:id="rId14" w:history="1">
        <w:r>
          <w:rPr>
            <w:rStyle w:val="Lienhypertexte"/>
            <w:rFonts w:ascii="Garamond" w:hAnsi="Garamond"/>
            <w:sz w:val="24"/>
            <w:szCs w:val="24"/>
          </w:rPr>
          <w:t>Cadre r</w:t>
        </w:r>
        <w:r>
          <w:rPr>
            <w:rStyle w:val="Lienhypertexte"/>
            <w:rFonts w:ascii="Garamond" w:eastAsia="Malgun Gothic" w:hAnsi="Garamond" w:cs="Malgun Gothic"/>
            <w:sz w:val="24"/>
            <w:szCs w:val="24"/>
          </w:rPr>
          <w:t>é</w:t>
        </w:r>
        <w:r>
          <w:rPr>
            <w:rStyle w:val="Lienhypertexte"/>
            <w:rFonts w:ascii="Garamond" w:hAnsi="Garamond"/>
            <w:sz w:val="24"/>
            <w:szCs w:val="24"/>
          </w:rPr>
          <w:t>glementaire national de l'APA</w:t>
        </w:r>
      </w:hyperlink>
      <w:r>
        <w:rPr>
          <w:rFonts w:ascii="Garamond" w:hAnsi="Garamond"/>
          <w:sz w:val="24"/>
          <w:szCs w:val="24"/>
        </w:rPr>
        <w:t xml:space="preserve"> </w:t>
      </w:r>
      <w:r>
        <w:rPr>
          <w:rFonts w:ascii="Garamond" w:hAnsi="Garamond" w:cstheme="majorBidi"/>
          <w:sz w:val="24"/>
          <w:szCs w:val="24"/>
        </w:rPr>
        <w:t>relatif à l’accès aux ressources génétiques, ainsi que des exigences techniques, institutionnelles et de gouvernance nécessaires à son hébergement, son exploitation et sa durabilité.</w:t>
      </w:r>
    </w:p>
    <w:p w:rsidR="003B5EBC" w:rsidRDefault="003B5EBC">
      <w:pPr>
        <w:spacing w:before="120" w:after="120" w:line="240" w:lineRule="auto"/>
        <w:jc w:val="both"/>
        <w:rPr>
          <w:rFonts w:ascii="Calisto MT" w:hAnsi="Calisto MT" w:cstheme="majorHAnsi"/>
          <w:sz w:val="2"/>
          <w:szCs w:val="2"/>
        </w:rPr>
      </w:pPr>
    </w:p>
    <w:p w:rsidR="003B5EBC" w:rsidRDefault="00A1518B">
      <w:pPr>
        <w:pStyle w:val="Paragraphedeliste"/>
        <w:numPr>
          <w:ilvl w:val="0"/>
          <w:numId w:val="3"/>
        </w:numPr>
        <w:ind w:left="426" w:hanging="284"/>
        <w:jc w:val="both"/>
        <w:rPr>
          <w:rFonts w:ascii="Garamond" w:hAnsi="Garamond" w:cstheme="majorBidi"/>
          <w:b/>
          <w:bCs/>
          <w:sz w:val="26"/>
          <w:szCs w:val="26"/>
        </w:rPr>
      </w:pPr>
      <w:r>
        <w:rPr>
          <w:rFonts w:ascii="Garamond" w:hAnsi="Garamond" w:cstheme="majorBidi"/>
          <w:b/>
          <w:bCs/>
          <w:sz w:val="26"/>
          <w:szCs w:val="26"/>
        </w:rPr>
        <w:t xml:space="preserve">Objectifs spécifiques : </w:t>
      </w:r>
    </w:p>
    <w:p w:rsidR="003B5EBC" w:rsidRDefault="003B5EBC">
      <w:pPr>
        <w:pStyle w:val="Paragraphedeliste"/>
        <w:jc w:val="both"/>
        <w:rPr>
          <w:rFonts w:ascii="Calisto MT" w:hAnsi="Calisto MT" w:cstheme="majorHAnsi"/>
          <w:b/>
          <w:bCs/>
          <w:sz w:val="24"/>
          <w:szCs w:val="24"/>
        </w:rPr>
      </w:pPr>
    </w:p>
    <w:p w:rsidR="003B5EBC" w:rsidRDefault="00A1518B">
      <w:pPr>
        <w:pStyle w:val="Paragraphedeliste"/>
        <w:numPr>
          <w:ilvl w:val="0"/>
          <w:numId w:val="4"/>
        </w:numPr>
        <w:spacing w:before="120" w:after="120"/>
        <w:ind w:left="284" w:hanging="284"/>
        <w:contextualSpacing w:val="0"/>
        <w:jc w:val="both"/>
        <w:rPr>
          <w:rFonts w:ascii="Garamond" w:hAnsi="Garamond" w:cstheme="majorBidi"/>
          <w:sz w:val="24"/>
          <w:szCs w:val="24"/>
        </w:rPr>
      </w:pPr>
      <w:r>
        <w:rPr>
          <w:rFonts w:ascii="Garamond" w:hAnsi="Garamond" w:cstheme="majorBidi"/>
          <w:b/>
          <w:bCs/>
          <w:color w:val="1F3864" w:themeColor="accent5" w:themeShade="80"/>
          <w:sz w:val="24"/>
          <w:szCs w:val="24"/>
        </w:rPr>
        <w:t xml:space="preserve">Décortiquer </w:t>
      </w:r>
      <w:r>
        <w:rPr>
          <w:rFonts w:ascii="Garamond" w:hAnsi="Garamond" w:cstheme="majorBidi"/>
          <w:b/>
          <w:bCs/>
          <w:color w:val="1F3864" w:themeColor="accent5" w:themeShade="80"/>
          <w:sz w:val="24"/>
          <w:szCs w:val="24"/>
          <w:lang w:val="fr-FR"/>
        </w:rPr>
        <w:t xml:space="preserve">le </w:t>
      </w:r>
      <w:hyperlink r:id="rId15" w:history="1">
        <w:r>
          <w:rPr>
            <w:rStyle w:val="Lienhypertexte"/>
            <w:rFonts w:ascii="Garamond" w:hAnsi="Garamond"/>
            <w:sz w:val="24"/>
            <w:szCs w:val="24"/>
          </w:rPr>
          <w:t>Cadre r</w:t>
        </w:r>
        <w:r>
          <w:rPr>
            <w:rStyle w:val="Lienhypertexte"/>
            <w:rFonts w:ascii="Garamond" w:eastAsia="Malgun Gothic" w:hAnsi="Garamond" w:cs="Malgun Gothic"/>
            <w:sz w:val="24"/>
            <w:szCs w:val="24"/>
          </w:rPr>
          <w:t>é</w:t>
        </w:r>
        <w:r>
          <w:rPr>
            <w:rStyle w:val="Lienhypertexte"/>
            <w:rFonts w:ascii="Garamond" w:hAnsi="Garamond"/>
            <w:sz w:val="24"/>
            <w:szCs w:val="24"/>
          </w:rPr>
          <w:t>glementaire national de l'APA</w:t>
        </w:r>
      </w:hyperlink>
      <w:r>
        <w:rPr>
          <w:rFonts w:ascii="Garamond" w:hAnsi="Garamond"/>
          <w:sz w:val="24"/>
          <w:szCs w:val="24"/>
        </w:rPr>
        <w:t xml:space="preserve"> </w:t>
      </w:r>
      <w:r>
        <w:rPr>
          <w:rFonts w:ascii="Garamond" w:hAnsi="Garamond" w:cstheme="majorBidi"/>
          <w:sz w:val="24"/>
          <w:szCs w:val="24"/>
        </w:rPr>
        <w:t>afin de traduire leurs dispositions pertinentes en processus opérationnels, schémas fonctionnels et exigences techniques pour le système électronique de permis APA.</w:t>
      </w:r>
    </w:p>
    <w:p w:rsidR="003B5EBC" w:rsidRDefault="00A1518B">
      <w:pPr>
        <w:pStyle w:val="Paragraphedeliste"/>
        <w:numPr>
          <w:ilvl w:val="0"/>
          <w:numId w:val="4"/>
        </w:numPr>
        <w:spacing w:before="120" w:after="120" w:line="240" w:lineRule="auto"/>
        <w:ind w:left="284" w:hanging="284"/>
        <w:contextualSpacing w:val="0"/>
        <w:jc w:val="both"/>
        <w:rPr>
          <w:rFonts w:ascii="Garamond" w:hAnsi="Garamond" w:cstheme="majorBidi"/>
          <w:sz w:val="24"/>
          <w:szCs w:val="24"/>
        </w:rPr>
      </w:pPr>
      <w:r>
        <w:rPr>
          <w:rFonts w:ascii="Garamond" w:hAnsi="Garamond" w:cstheme="majorBidi"/>
          <w:b/>
          <w:bCs/>
          <w:color w:val="1F3864" w:themeColor="accent5" w:themeShade="80"/>
          <w:sz w:val="24"/>
          <w:szCs w:val="24"/>
        </w:rPr>
        <w:t>Cartographier les procédures existantes d’accès aux ressources génétiques</w:t>
      </w:r>
      <w:r>
        <w:rPr>
          <w:rFonts w:ascii="Garamond" w:hAnsi="Garamond" w:cstheme="majorBidi"/>
          <w:b/>
          <w:color w:val="1F3864" w:themeColor="accent5" w:themeShade="80"/>
          <w:sz w:val="24"/>
          <w:szCs w:val="24"/>
        </w:rPr>
        <w:t xml:space="preserve"> </w:t>
      </w:r>
      <w:r>
        <w:rPr>
          <w:rFonts w:ascii="Garamond" w:hAnsi="Garamond" w:cstheme="majorBidi"/>
          <w:sz w:val="24"/>
          <w:szCs w:val="24"/>
        </w:rPr>
        <w:t>et analyser les rôles, responsabilités, circuits de traitement, délais, documents requis et mécanismes de coordination entre les institutions concernées.</w:t>
      </w:r>
    </w:p>
    <w:p w:rsidR="003B5EBC" w:rsidRDefault="00A1518B">
      <w:pPr>
        <w:pStyle w:val="Paragraphedeliste"/>
        <w:numPr>
          <w:ilvl w:val="0"/>
          <w:numId w:val="4"/>
        </w:numPr>
        <w:spacing w:before="120" w:after="120" w:line="240" w:lineRule="auto"/>
        <w:ind w:left="284" w:hanging="284"/>
        <w:contextualSpacing w:val="0"/>
        <w:jc w:val="both"/>
        <w:rPr>
          <w:rFonts w:ascii="Garamond" w:hAnsi="Garamond" w:cstheme="majorBidi"/>
          <w:sz w:val="24"/>
          <w:szCs w:val="24"/>
        </w:rPr>
      </w:pPr>
      <w:r>
        <w:rPr>
          <w:rFonts w:ascii="Garamond" w:hAnsi="Garamond" w:cstheme="majorBidi"/>
          <w:b/>
          <w:bCs/>
          <w:color w:val="1F3864" w:themeColor="accent5" w:themeShade="80"/>
          <w:sz w:val="24"/>
          <w:szCs w:val="24"/>
        </w:rPr>
        <w:t>Réaliser un benchmark national et international</w:t>
      </w:r>
      <w:r>
        <w:rPr>
          <w:rFonts w:ascii="Garamond" w:hAnsi="Garamond" w:cstheme="majorBidi"/>
          <w:b/>
          <w:color w:val="1F3864" w:themeColor="accent5" w:themeShade="80"/>
          <w:sz w:val="24"/>
          <w:szCs w:val="24"/>
        </w:rPr>
        <w:t xml:space="preserve"> </w:t>
      </w:r>
      <w:r>
        <w:rPr>
          <w:rFonts w:ascii="Garamond" w:hAnsi="Garamond" w:cstheme="majorBidi"/>
          <w:sz w:val="24"/>
          <w:szCs w:val="24"/>
        </w:rPr>
        <w:t>des systèmes électroniques de permis APA, des guichets uniques et des plateformes similaires, afin d’identifier les bonnes pratiques, les modèles adaptables au contexte marocain et les conditions de réussite.</w:t>
      </w:r>
    </w:p>
    <w:p w:rsidR="003B5EBC" w:rsidRDefault="00A1518B">
      <w:pPr>
        <w:pStyle w:val="Paragraphedeliste"/>
        <w:numPr>
          <w:ilvl w:val="0"/>
          <w:numId w:val="4"/>
        </w:numPr>
        <w:spacing w:before="120" w:after="120"/>
        <w:ind w:left="284" w:hanging="284"/>
        <w:contextualSpacing w:val="0"/>
        <w:jc w:val="both"/>
        <w:rPr>
          <w:rFonts w:ascii="Garamond" w:hAnsi="Garamond" w:cstheme="majorBidi"/>
          <w:sz w:val="24"/>
          <w:szCs w:val="24"/>
        </w:rPr>
      </w:pPr>
      <w:r>
        <w:rPr>
          <w:rFonts w:ascii="Garamond" w:hAnsi="Garamond" w:cstheme="majorBidi"/>
          <w:b/>
          <w:bCs/>
          <w:color w:val="1F3864" w:themeColor="accent5" w:themeShade="80"/>
          <w:sz w:val="24"/>
          <w:szCs w:val="24"/>
        </w:rPr>
        <w:t>Définir les exigences fonctionnelles, techniques, institutionnelles et organisationnelles du futur système</w:t>
      </w:r>
      <w:r>
        <w:rPr>
          <w:rFonts w:ascii="Garamond" w:hAnsi="Garamond" w:cstheme="majorBidi"/>
          <w:b/>
          <w:color w:val="1F3864" w:themeColor="accent5" w:themeShade="80"/>
          <w:sz w:val="24"/>
          <w:szCs w:val="24"/>
        </w:rPr>
        <w:t xml:space="preserve">, </w:t>
      </w:r>
      <w:r>
        <w:rPr>
          <w:rFonts w:ascii="Garamond" w:hAnsi="Garamond" w:cstheme="majorBidi"/>
          <w:sz w:val="24"/>
          <w:szCs w:val="24"/>
        </w:rPr>
        <w:t>notamment en matière de logiciels, bases de données, infrastructure, sécurité, confidentialité, gestion des données, administration, maintenance et formation.</w:t>
      </w:r>
    </w:p>
    <w:p w:rsidR="003B5EBC" w:rsidRDefault="00A1518B">
      <w:pPr>
        <w:pStyle w:val="Paragraphedeliste"/>
        <w:numPr>
          <w:ilvl w:val="0"/>
          <w:numId w:val="4"/>
        </w:numPr>
        <w:spacing w:before="120" w:after="120"/>
        <w:ind w:left="284" w:hanging="284"/>
        <w:contextualSpacing w:val="0"/>
        <w:jc w:val="both"/>
        <w:rPr>
          <w:rFonts w:ascii="Garamond" w:hAnsi="Garamond" w:cstheme="majorBidi"/>
          <w:sz w:val="24"/>
          <w:szCs w:val="24"/>
        </w:rPr>
      </w:pPr>
      <w:r>
        <w:rPr>
          <w:rFonts w:ascii="Garamond" w:hAnsi="Garamond" w:cstheme="majorBidi"/>
          <w:b/>
          <w:bCs/>
          <w:color w:val="1F3864" w:themeColor="accent5" w:themeShade="80"/>
          <w:sz w:val="24"/>
          <w:szCs w:val="24"/>
        </w:rPr>
        <w:t>Concevoir l’architecture fonctionnelle et technique du système,</w:t>
      </w:r>
      <w:r>
        <w:rPr>
          <w:rFonts w:ascii="Garamond" w:hAnsi="Garamond" w:cstheme="majorBidi"/>
          <w:b/>
          <w:color w:val="1F3864" w:themeColor="accent5" w:themeShade="80"/>
          <w:sz w:val="24"/>
          <w:szCs w:val="24"/>
        </w:rPr>
        <w:t xml:space="preserve"> </w:t>
      </w:r>
      <w:r>
        <w:rPr>
          <w:rFonts w:ascii="Garamond" w:hAnsi="Garamond" w:cstheme="majorBidi"/>
          <w:bCs/>
          <w:sz w:val="24"/>
          <w:szCs w:val="24"/>
        </w:rPr>
        <w:t>incluant le guichet unique électronique, les formulaires standardisés, les workflows de traitement, les profils utilisateurs, les notifications, les tableaux de bord, le suivi de la conformité et le reporting.</w:t>
      </w:r>
    </w:p>
    <w:p w:rsidR="003B5EBC" w:rsidRDefault="00A1518B">
      <w:pPr>
        <w:pStyle w:val="Paragraphedeliste"/>
        <w:numPr>
          <w:ilvl w:val="0"/>
          <w:numId w:val="4"/>
        </w:numPr>
        <w:spacing w:before="120" w:after="120"/>
        <w:ind w:left="284" w:hanging="284"/>
        <w:contextualSpacing w:val="0"/>
        <w:jc w:val="both"/>
        <w:rPr>
          <w:rFonts w:ascii="Garamond" w:hAnsi="Garamond" w:cstheme="majorBidi"/>
          <w:sz w:val="24"/>
          <w:szCs w:val="24"/>
        </w:rPr>
      </w:pPr>
      <w:r>
        <w:rPr>
          <w:rFonts w:ascii="Garamond" w:hAnsi="Garamond" w:cstheme="majorBidi"/>
          <w:b/>
          <w:bCs/>
          <w:color w:val="1F3864" w:themeColor="accent5" w:themeShade="80"/>
          <w:sz w:val="24"/>
          <w:szCs w:val="24"/>
        </w:rPr>
        <w:t>Proposer un modèle de gouvernance et de coordination institutionnelle,</w:t>
      </w:r>
      <w:r>
        <w:rPr>
          <w:rFonts w:ascii="Garamond" w:hAnsi="Garamond" w:cstheme="majorBidi"/>
          <w:color w:val="1F3864" w:themeColor="accent5" w:themeShade="80"/>
          <w:sz w:val="24"/>
          <w:szCs w:val="24"/>
        </w:rPr>
        <w:t xml:space="preserve"> </w:t>
      </w:r>
      <w:r>
        <w:rPr>
          <w:rFonts w:ascii="Garamond" w:hAnsi="Garamond" w:cstheme="majorBidi"/>
          <w:sz w:val="24"/>
          <w:szCs w:val="24"/>
        </w:rPr>
        <w:t>clarifiant les rôles des autorités compétentes, du point focal APA, du secrétariat, du MTEDD-DDD et des autres institutions concernées dans l’instruction, la validation et le suivi des demandes.</w:t>
      </w:r>
    </w:p>
    <w:p w:rsidR="003B5EBC" w:rsidRDefault="00A1518B">
      <w:pPr>
        <w:pStyle w:val="Paragraphedeliste"/>
        <w:numPr>
          <w:ilvl w:val="0"/>
          <w:numId w:val="4"/>
        </w:numPr>
        <w:spacing w:before="120" w:after="120"/>
        <w:ind w:left="284" w:hanging="284"/>
        <w:contextualSpacing w:val="0"/>
        <w:jc w:val="both"/>
        <w:rPr>
          <w:rFonts w:ascii="Garamond" w:hAnsi="Garamond" w:cstheme="majorBidi"/>
          <w:sz w:val="24"/>
          <w:szCs w:val="24"/>
          <w:lang w:val="fr-FR"/>
        </w:rPr>
      </w:pPr>
      <w:r>
        <w:rPr>
          <w:rFonts w:ascii="Garamond" w:hAnsi="Garamond" w:cstheme="majorBidi"/>
          <w:b/>
          <w:bCs/>
          <w:color w:val="1F3864" w:themeColor="accent5" w:themeShade="80"/>
          <w:sz w:val="24"/>
          <w:szCs w:val="24"/>
        </w:rPr>
        <w:t xml:space="preserve">Développer, tester et mettre en ligne une plateforme électronique standardisée de demande de permis APA, </w:t>
      </w:r>
      <w:r>
        <w:rPr>
          <w:rFonts w:ascii="Garamond" w:hAnsi="Garamond" w:cstheme="majorBidi"/>
          <w:sz w:val="24"/>
          <w:szCs w:val="24"/>
        </w:rPr>
        <w:t>compatible avec l’environnement informatique du MTEDD-DDD et articulée avec le CHM Biodiversité du Maroc, notamment sa composante APA/Protocole de Nagoya.</w:t>
      </w:r>
      <w:r>
        <w:rPr>
          <w:rFonts w:ascii="Garamond" w:eastAsia="Times New Roman" w:hAnsi="Garamond" w:cs="Times New Roman"/>
          <w:b/>
          <w:bCs/>
          <w:spacing w:val="-8"/>
          <w:sz w:val="24"/>
        </w:rPr>
        <w:t xml:space="preserve"> </w:t>
      </w:r>
    </w:p>
    <w:p w:rsidR="003B5EBC" w:rsidRDefault="00A1518B">
      <w:pPr>
        <w:pStyle w:val="Paragraphedeliste"/>
        <w:numPr>
          <w:ilvl w:val="0"/>
          <w:numId w:val="4"/>
        </w:numPr>
        <w:spacing w:before="120" w:after="120"/>
        <w:ind w:left="284" w:hanging="284"/>
        <w:contextualSpacing w:val="0"/>
        <w:jc w:val="both"/>
        <w:rPr>
          <w:rFonts w:ascii="Garamond" w:hAnsi="Garamond" w:cstheme="majorBidi"/>
          <w:sz w:val="24"/>
          <w:szCs w:val="24"/>
        </w:rPr>
      </w:pPr>
      <w:r>
        <w:rPr>
          <w:rFonts w:ascii="Garamond" w:hAnsi="Garamond" w:cstheme="majorBidi"/>
          <w:b/>
          <w:bCs/>
          <w:color w:val="1F3864" w:themeColor="accent5" w:themeShade="80"/>
          <w:sz w:val="24"/>
          <w:szCs w:val="24"/>
        </w:rPr>
        <w:t>Élaborer les manuels, supports techniques et outils de formation nécessaires</w:t>
      </w:r>
      <w:r>
        <w:rPr>
          <w:rFonts w:ascii="Garamond" w:hAnsi="Garamond" w:cstheme="majorBidi"/>
          <w:color w:val="1F3864" w:themeColor="accent5" w:themeShade="80"/>
          <w:sz w:val="24"/>
          <w:szCs w:val="24"/>
        </w:rPr>
        <w:t xml:space="preserve">, </w:t>
      </w:r>
      <w:r>
        <w:rPr>
          <w:rFonts w:ascii="Garamond" w:hAnsi="Garamond" w:cstheme="majorBidi"/>
          <w:sz w:val="24"/>
          <w:szCs w:val="24"/>
        </w:rPr>
        <w:t>et assurer le transfert de compétences aux utilisateurs et administrateurs du système pour garantir son exploitation, son administration et sa maintenance durable.</w:t>
      </w:r>
    </w:p>
    <w:p w:rsidR="003B5EBC" w:rsidRDefault="003B5EBC">
      <w:pPr>
        <w:spacing w:before="120" w:after="120"/>
        <w:jc w:val="both"/>
        <w:rPr>
          <w:rFonts w:ascii="Calisto MT" w:eastAsia="Times New Roman" w:hAnsi="Calisto MT" w:cs="Times New Roman"/>
          <w:sz w:val="24"/>
          <w:szCs w:val="24"/>
          <w:lang w:eastAsia="fr-FR"/>
        </w:rPr>
      </w:pPr>
    </w:p>
    <w:p w:rsidR="003B5EBC" w:rsidRDefault="00A1518B">
      <w:pPr>
        <w:pStyle w:val="Paragraphedeliste"/>
        <w:numPr>
          <w:ilvl w:val="0"/>
          <w:numId w:val="5"/>
        </w:numPr>
        <w:spacing w:before="120" w:after="120"/>
        <w:ind w:left="567" w:hanging="207"/>
        <w:contextualSpacing w:val="0"/>
        <w:jc w:val="both"/>
        <w:rPr>
          <w:rFonts w:ascii="Garamond" w:hAnsi="Garamond" w:cstheme="majorBidi"/>
          <w:b/>
          <w:bCs/>
          <w:sz w:val="28"/>
          <w:szCs w:val="28"/>
          <w:u w:val="single"/>
        </w:rPr>
      </w:pPr>
      <w:r>
        <w:rPr>
          <w:rFonts w:ascii="Garamond" w:hAnsi="Garamond" w:cstheme="majorBidi"/>
          <w:b/>
          <w:bCs/>
          <w:sz w:val="28"/>
          <w:szCs w:val="28"/>
          <w:u w:val="single"/>
        </w:rPr>
        <w:t>Consistance de la prestation : Missions, activités et livrables attendus :</w:t>
      </w:r>
    </w:p>
    <w:p w:rsidR="003B5EBC" w:rsidRDefault="003B5EBC">
      <w:pPr>
        <w:spacing w:after="0"/>
        <w:jc w:val="both"/>
        <w:rPr>
          <w:rFonts w:asciiTheme="majorBidi" w:hAnsiTheme="majorBidi" w:cstheme="majorBidi"/>
        </w:rPr>
      </w:pPr>
    </w:p>
    <w:p w:rsidR="003B5EBC" w:rsidRDefault="00A1518B">
      <w:pPr>
        <w:spacing w:after="0"/>
        <w:jc w:val="both"/>
        <w:rPr>
          <w:rFonts w:ascii="Garamond" w:hAnsi="Garamond" w:cstheme="majorBidi"/>
          <w:sz w:val="24"/>
          <w:szCs w:val="24"/>
        </w:rPr>
      </w:pPr>
      <w:r>
        <w:rPr>
          <w:rFonts w:ascii="Garamond" w:hAnsi="Garamond" w:cstheme="majorBidi"/>
          <w:sz w:val="24"/>
          <w:szCs w:val="24"/>
        </w:rPr>
        <w:t xml:space="preserve">La présente consultation est organisée autour d’un </w:t>
      </w:r>
      <w:r>
        <w:rPr>
          <w:rFonts w:ascii="Garamond" w:hAnsi="Garamond" w:cstheme="majorBidi"/>
          <w:b/>
          <w:bCs/>
          <w:sz w:val="24"/>
          <w:szCs w:val="24"/>
        </w:rPr>
        <w:t>Livrable 0 transversal</w:t>
      </w:r>
      <w:r>
        <w:rPr>
          <w:rFonts w:ascii="Garamond" w:hAnsi="Garamond" w:cstheme="majorBidi"/>
          <w:sz w:val="24"/>
          <w:szCs w:val="24"/>
        </w:rPr>
        <w:t xml:space="preserve">, de </w:t>
      </w:r>
      <w:r>
        <w:rPr>
          <w:rFonts w:ascii="Garamond" w:hAnsi="Garamond" w:cstheme="majorBidi"/>
          <w:b/>
          <w:bCs/>
          <w:sz w:val="24"/>
          <w:szCs w:val="24"/>
        </w:rPr>
        <w:t>trois missions principales</w:t>
      </w:r>
      <w:r>
        <w:rPr>
          <w:rFonts w:ascii="Garamond" w:hAnsi="Garamond" w:cstheme="majorBidi"/>
          <w:sz w:val="24"/>
          <w:szCs w:val="24"/>
        </w:rPr>
        <w:t xml:space="preserve"> et d’un </w:t>
      </w:r>
      <w:r>
        <w:rPr>
          <w:rFonts w:ascii="Garamond" w:hAnsi="Garamond" w:cstheme="majorBidi"/>
          <w:b/>
          <w:bCs/>
          <w:sz w:val="24"/>
          <w:szCs w:val="24"/>
        </w:rPr>
        <w:t>Livrable final d’évaluation</w:t>
      </w:r>
      <w:r>
        <w:rPr>
          <w:rFonts w:ascii="Garamond" w:hAnsi="Garamond" w:cstheme="majorBidi"/>
          <w:sz w:val="24"/>
          <w:szCs w:val="24"/>
        </w:rPr>
        <w:t xml:space="preserve">, couvrant une période de </w:t>
      </w:r>
      <w:r>
        <w:rPr>
          <w:rFonts w:ascii="Garamond" w:hAnsi="Garamond" w:cstheme="majorBidi"/>
          <w:b/>
          <w:bCs/>
          <w:sz w:val="24"/>
          <w:szCs w:val="24"/>
        </w:rPr>
        <w:t>6 mois</w:t>
      </w:r>
      <w:r>
        <w:rPr>
          <w:rFonts w:ascii="Garamond" w:hAnsi="Garamond" w:cstheme="majorBidi"/>
          <w:sz w:val="24"/>
          <w:szCs w:val="24"/>
        </w:rPr>
        <w:t>. Cette structuration permet d’assurer un suivi progressif de la prestation, depuis le cadrage méthodologique jusqu’à la conception, au développement, à la mise en ligne et à l’évaluation finale du système électronique normalisé de demande de permis APA.</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Les trois missions principales couvrent respectivement :</w:t>
      </w:r>
    </w:p>
    <w:p w:rsidR="003B5EBC" w:rsidRDefault="00A1518B">
      <w:pPr>
        <w:numPr>
          <w:ilvl w:val="0"/>
          <w:numId w:val="6"/>
        </w:numPr>
        <w:spacing w:after="0"/>
        <w:jc w:val="both"/>
        <w:rPr>
          <w:rFonts w:ascii="Garamond" w:hAnsi="Garamond" w:cstheme="majorBidi"/>
          <w:sz w:val="24"/>
          <w:szCs w:val="24"/>
        </w:rPr>
      </w:pPr>
      <w:r>
        <w:rPr>
          <w:rFonts w:ascii="Garamond" w:hAnsi="Garamond" w:cstheme="majorBidi"/>
          <w:sz w:val="24"/>
          <w:szCs w:val="24"/>
        </w:rPr>
        <w:t>Mission 1 : l’analyse juridique, institutionnelle et comparative ;</w:t>
      </w:r>
    </w:p>
    <w:p w:rsidR="003B5EBC" w:rsidRDefault="00A1518B">
      <w:pPr>
        <w:numPr>
          <w:ilvl w:val="0"/>
          <w:numId w:val="6"/>
        </w:numPr>
        <w:spacing w:after="0"/>
        <w:jc w:val="both"/>
        <w:rPr>
          <w:rFonts w:ascii="Garamond" w:hAnsi="Garamond" w:cstheme="majorBidi"/>
          <w:sz w:val="24"/>
          <w:szCs w:val="24"/>
        </w:rPr>
      </w:pPr>
      <w:r>
        <w:rPr>
          <w:rFonts w:ascii="Garamond" w:hAnsi="Garamond" w:cstheme="majorBidi"/>
          <w:sz w:val="24"/>
          <w:szCs w:val="24"/>
        </w:rPr>
        <w:t>Mission 2 : l</w:t>
      </w:r>
      <w:r w:rsidR="00C00FCA">
        <w:rPr>
          <w:rFonts w:ascii="Garamond" w:hAnsi="Garamond" w:cstheme="majorBidi"/>
          <w:sz w:val="24"/>
          <w:szCs w:val="24"/>
          <w:lang w:val="fr-FR"/>
        </w:rPr>
        <w:t>e cadrage et la</w:t>
      </w:r>
      <w:r>
        <w:rPr>
          <w:rFonts w:ascii="Garamond" w:hAnsi="Garamond" w:cstheme="majorBidi"/>
          <w:sz w:val="24"/>
          <w:szCs w:val="24"/>
        </w:rPr>
        <w:t xml:space="preserve"> conception fonctionnelle, technique et réglementaire du système ;</w:t>
      </w:r>
    </w:p>
    <w:p w:rsidR="003B5EBC" w:rsidRDefault="00A1518B">
      <w:pPr>
        <w:numPr>
          <w:ilvl w:val="0"/>
          <w:numId w:val="6"/>
        </w:numPr>
        <w:spacing w:after="0"/>
        <w:jc w:val="both"/>
        <w:rPr>
          <w:rFonts w:ascii="Garamond" w:hAnsi="Garamond" w:cstheme="majorBidi"/>
          <w:sz w:val="24"/>
          <w:szCs w:val="24"/>
        </w:rPr>
      </w:pPr>
      <w:r>
        <w:rPr>
          <w:rFonts w:ascii="Garamond" w:hAnsi="Garamond" w:cstheme="majorBidi"/>
          <w:sz w:val="24"/>
          <w:szCs w:val="24"/>
        </w:rPr>
        <w:t>Mission 3 : le développement, la mise en ligne, la formation et le transfert de compétences.</w:t>
      </w:r>
    </w:p>
    <w:p w:rsidR="003B5EBC" w:rsidRDefault="003B5EBC">
      <w:pPr>
        <w:spacing w:after="0"/>
        <w:ind w:left="72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Chaque mission donnera lieu à plusieurs livrables intermédiaires afin de permettre la validation progressive des étapes clés avant le passage à la phase suivante.</w:t>
      </w:r>
    </w:p>
    <w:p w:rsidR="003B5EBC" w:rsidRDefault="003B5EBC">
      <w:pPr>
        <w:spacing w:after="0"/>
        <w:jc w:val="both"/>
        <w:rPr>
          <w:rFonts w:ascii="Garamond" w:hAnsi="Garamond" w:cstheme="majorBidi"/>
          <w:sz w:val="24"/>
          <w:szCs w:val="24"/>
        </w:rPr>
      </w:pPr>
    </w:p>
    <w:p w:rsidR="003B5EBC" w:rsidRDefault="003B5EBC">
      <w:pPr>
        <w:spacing w:after="0"/>
        <w:jc w:val="both"/>
        <w:rPr>
          <w:rFonts w:asciiTheme="majorBidi" w:hAnsiTheme="majorBidi" w:cstheme="majorBidi"/>
        </w:rPr>
      </w:pPr>
    </w:p>
    <w:p w:rsidR="003B5EBC" w:rsidRDefault="00A1518B">
      <w:pPr>
        <w:pStyle w:val="Paragraphedeliste"/>
        <w:numPr>
          <w:ilvl w:val="0"/>
          <w:numId w:val="7"/>
        </w:numPr>
        <w:spacing w:after="0"/>
        <w:ind w:left="284" w:hanging="284"/>
        <w:jc w:val="both"/>
        <w:rPr>
          <w:rFonts w:ascii="Garamond" w:hAnsi="Garamond" w:cstheme="majorBidi"/>
          <w:b/>
          <w:bCs/>
          <w:sz w:val="26"/>
          <w:szCs w:val="26"/>
        </w:rPr>
      </w:pPr>
      <w:r>
        <w:rPr>
          <w:rFonts w:ascii="Garamond" w:hAnsi="Garamond" w:cstheme="majorBidi"/>
          <w:b/>
          <w:bCs/>
          <w:sz w:val="26"/>
          <w:szCs w:val="26"/>
        </w:rPr>
        <w:t>Livrable 0 transversal : Cadrage méthodologique de la prestation</w:t>
      </w:r>
    </w:p>
    <w:p w:rsidR="003B5EBC" w:rsidRDefault="003B5EBC">
      <w:pPr>
        <w:spacing w:after="0"/>
        <w:jc w:val="both"/>
        <w:rPr>
          <w:rFonts w:asciiTheme="majorBidi" w:hAnsiTheme="majorBidi" w:cstheme="majorBidi"/>
        </w:rPr>
      </w:pPr>
    </w:p>
    <w:p w:rsidR="003B5EBC" w:rsidRDefault="00A1518B">
      <w:p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Le prestataire devra, dès le démarrage de la prestation, assurer le cadrage méthodologique en concertation avec l’équipe projet et les parties prenantes concernées.</w:t>
      </w:r>
    </w:p>
    <w:p w:rsidR="003B5EBC" w:rsidRDefault="003B5EBC">
      <w:pPr>
        <w:spacing w:after="0"/>
        <w:jc w:val="both"/>
        <w:rPr>
          <w:rFonts w:ascii="Garamond" w:hAnsi="Garamond" w:cstheme="majorBidi"/>
          <w:color w:val="000000" w:themeColor="text1"/>
          <w:sz w:val="24"/>
          <w:szCs w:val="24"/>
        </w:rPr>
      </w:pPr>
    </w:p>
    <w:p w:rsidR="003B5EBC" w:rsidRDefault="00A1518B">
      <w:p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Il devra notamment :</w:t>
      </w:r>
    </w:p>
    <w:p w:rsidR="003B5EBC" w:rsidRDefault="00A1518B">
      <w:pPr>
        <w:numPr>
          <w:ilvl w:val="0"/>
          <w:numId w:val="8"/>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Organiser une réunion de démarrage avec l’équipe projet ; </w:t>
      </w:r>
    </w:p>
    <w:p w:rsidR="003B5EBC" w:rsidRDefault="00A1518B">
      <w:pPr>
        <w:numPr>
          <w:ilvl w:val="0"/>
          <w:numId w:val="8"/>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Clarifier les objectifs, la consistance, le périmètre et les résultats attendus de la prestation ; </w:t>
      </w:r>
    </w:p>
    <w:p w:rsidR="003B5EBC" w:rsidRDefault="00A1518B">
      <w:pPr>
        <w:numPr>
          <w:ilvl w:val="0"/>
          <w:numId w:val="8"/>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Procéder à une revue documentaire initiale ; </w:t>
      </w:r>
    </w:p>
    <w:p w:rsidR="003B5EBC" w:rsidRDefault="00A1518B">
      <w:pPr>
        <w:numPr>
          <w:ilvl w:val="0"/>
          <w:numId w:val="8"/>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Identifier les parties prenantes à consulter ; </w:t>
      </w:r>
    </w:p>
    <w:p w:rsidR="003B5EBC" w:rsidRDefault="00A1518B">
      <w:pPr>
        <w:numPr>
          <w:ilvl w:val="0"/>
          <w:numId w:val="8"/>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Définir les besoins en données à collecter auprès des acteurs ; </w:t>
      </w:r>
    </w:p>
    <w:p w:rsidR="003B5EBC" w:rsidRDefault="00A1518B">
      <w:pPr>
        <w:numPr>
          <w:ilvl w:val="0"/>
          <w:numId w:val="8"/>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Proposer les outils de collecte et d’analyse ; </w:t>
      </w:r>
    </w:p>
    <w:p w:rsidR="003B5EBC" w:rsidRDefault="00A1518B">
      <w:pPr>
        <w:numPr>
          <w:ilvl w:val="0"/>
          <w:numId w:val="8"/>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Préparer un chronogramme détaillé de mise en œuvre sur 6 mois ; </w:t>
      </w:r>
    </w:p>
    <w:p w:rsidR="003B5EBC" w:rsidRDefault="00A1518B">
      <w:pPr>
        <w:numPr>
          <w:ilvl w:val="0"/>
          <w:numId w:val="8"/>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Préciser les modalités de coordination, de validation et de reporting avec l’équipe projet.</w:t>
      </w:r>
    </w:p>
    <w:p w:rsidR="003B5EBC" w:rsidRDefault="003B5EBC">
      <w:pPr>
        <w:spacing w:after="0"/>
        <w:ind w:left="720"/>
        <w:jc w:val="both"/>
        <w:rPr>
          <w:rFonts w:ascii="Garamond" w:hAnsi="Garamond" w:cstheme="majorBidi"/>
          <w:color w:val="000000" w:themeColor="text1"/>
          <w:sz w:val="24"/>
          <w:szCs w:val="24"/>
        </w:rPr>
      </w:pPr>
    </w:p>
    <w:p w:rsidR="003B5EBC" w:rsidRDefault="003B5EBC">
      <w:pPr>
        <w:spacing w:after="0"/>
        <w:jc w:val="both"/>
        <w:rPr>
          <w:rFonts w:ascii="Garamond" w:hAnsi="Garamond" w:cstheme="majorBidi"/>
          <w:color w:val="000000" w:themeColor="text1"/>
          <w:sz w:val="24"/>
          <w:szCs w:val="24"/>
        </w:rPr>
      </w:pPr>
    </w:p>
    <w:p w:rsidR="003B5EBC" w:rsidRDefault="00A1518B">
      <w:pPr>
        <w:spacing w:after="0"/>
        <w:jc w:val="both"/>
        <w:rPr>
          <w:rFonts w:ascii="Garamond" w:hAnsi="Garamond"/>
          <w:color w:val="1F3864" w:themeColor="accent5" w:themeShade="80"/>
          <w:sz w:val="24"/>
          <w:szCs w:val="24"/>
        </w:rPr>
      </w:pPr>
      <w:r>
        <w:rPr>
          <w:rFonts w:ascii="Garamond" w:hAnsi="Garamond"/>
          <w:color w:val="1F3864" w:themeColor="accent5" w:themeShade="80"/>
          <w:sz w:val="24"/>
          <w:szCs w:val="24"/>
        </w:rPr>
        <w:t>Livrable 0 — L0 : Rapport de démarrage / Méthodologie de travail</w:t>
      </w:r>
    </w:p>
    <w:p w:rsidR="003B5EBC" w:rsidRDefault="00A1518B">
      <w:p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Le rapport devra inclure :</w:t>
      </w:r>
    </w:p>
    <w:p w:rsidR="003B5EBC" w:rsidRDefault="00A1518B">
      <w:pPr>
        <w:numPr>
          <w:ilvl w:val="0"/>
          <w:numId w:val="9"/>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 compréhension du prestataire des objectifs et de la consistance de la prestation ; </w:t>
      </w:r>
    </w:p>
    <w:p w:rsidR="003B5EBC" w:rsidRDefault="00A1518B">
      <w:pPr>
        <w:numPr>
          <w:ilvl w:val="0"/>
          <w:numId w:val="9"/>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L’approche méthodologique détaillée ; </w:t>
      </w:r>
    </w:p>
    <w:p w:rsidR="003B5EBC" w:rsidRDefault="00A1518B">
      <w:pPr>
        <w:numPr>
          <w:ilvl w:val="0"/>
          <w:numId w:val="9"/>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Le plan de travail et le chronogramme ; </w:t>
      </w:r>
    </w:p>
    <w:p w:rsidR="003B5EBC" w:rsidRDefault="00A1518B">
      <w:pPr>
        <w:numPr>
          <w:ilvl w:val="0"/>
          <w:numId w:val="9"/>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 liste des parties prenantes à consulter ; </w:t>
      </w:r>
    </w:p>
    <w:p w:rsidR="003B5EBC" w:rsidRDefault="00A1518B">
      <w:pPr>
        <w:numPr>
          <w:ilvl w:val="0"/>
          <w:numId w:val="9"/>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Les besoins en données à collecter ; </w:t>
      </w:r>
    </w:p>
    <w:p w:rsidR="003B5EBC" w:rsidRDefault="00A1518B">
      <w:pPr>
        <w:numPr>
          <w:ilvl w:val="0"/>
          <w:numId w:val="9"/>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lastRenderedPageBreak/>
        <w:t xml:space="preserve">Les outils de collecte et d’analyse proposés ; </w:t>
      </w:r>
    </w:p>
    <w:p w:rsidR="003B5EBC" w:rsidRDefault="00A1518B">
      <w:pPr>
        <w:numPr>
          <w:ilvl w:val="0"/>
          <w:numId w:val="9"/>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Les modalités de coordination avec l’équipe projet.</w:t>
      </w:r>
    </w:p>
    <w:p w:rsidR="003B5EBC" w:rsidRDefault="003B5EBC">
      <w:pPr>
        <w:spacing w:after="0"/>
        <w:jc w:val="both"/>
        <w:rPr>
          <w:rFonts w:ascii="Garamond" w:hAnsi="Garamond" w:cstheme="majorBidi"/>
          <w:color w:val="000000" w:themeColor="text1"/>
          <w:sz w:val="24"/>
          <w:szCs w:val="24"/>
        </w:rPr>
      </w:pPr>
    </w:p>
    <w:p w:rsidR="003B5EBC" w:rsidRDefault="00A1518B">
      <w:pPr>
        <w:spacing w:after="0"/>
        <w:jc w:val="both"/>
        <w:rPr>
          <w:rFonts w:ascii="Garamond" w:hAnsi="Garamond" w:cstheme="majorBidi"/>
          <w:i/>
          <w:iCs/>
          <w:color w:val="000000" w:themeColor="text1"/>
          <w:sz w:val="24"/>
          <w:szCs w:val="24"/>
        </w:rPr>
      </w:pPr>
      <w:r>
        <w:rPr>
          <w:rFonts w:ascii="Garamond" w:hAnsi="Garamond" w:cstheme="majorBidi"/>
          <w:i/>
          <w:iCs/>
          <w:color w:val="000000" w:themeColor="text1"/>
          <w:sz w:val="24"/>
          <w:szCs w:val="24"/>
        </w:rPr>
        <w:t>Délai indicatif : 15 jours après la signature du contrat.</w:t>
      </w:r>
    </w:p>
    <w:p w:rsidR="003B5EBC" w:rsidRDefault="003B5EBC">
      <w:pPr>
        <w:spacing w:after="0"/>
        <w:jc w:val="both"/>
        <w:rPr>
          <w:rFonts w:ascii="Garamond" w:hAnsi="Garamond" w:cstheme="majorBidi"/>
          <w:color w:val="000000" w:themeColor="text1"/>
          <w:sz w:val="24"/>
          <w:szCs w:val="24"/>
        </w:rPr>
      </w:pPr>
    </w:p>
    <w:p w:rsidR="003B5EBC" w:rsidRDefault="003B5EBC">
      <w:pPr>
        <w:spacing w:after="0"/>
        <w:jc w:val="both"/>
        <w:rPr>
          <w:rFonts w:ascii="Garamond" w:hAnsi="Garamond" w:cstheme="majorBidi"/>
          <w:b/>
          <w:bCs/>
          <w:color w:val="0070C0"/>
          <w:sz w:val="24"/>
          <w:szCs w:val="24"/>
        </w:rPr>
      </w:pPr>
    </w:p>
    <w:p w:rsidR="003B5EBC" w:rsidRDefault="00A1518B">
      <w:pPr>
        <w:pStyle w:val="Paragraphedeliste"/>
        <w:numPr>
          <w:ilvl w:val="0"/>
          <w:numId w:val="7"/>
        </w:numPr>
        <w:spacing w:after="0"/>
        <w:ind w:left="284" w:hanging="284"/>
        <w:jc w:val="both"/>
        <w:rPr>
          <w:rFonts w:ascii="Garamond" w:hAnsi="Garamond" w:cstheme="majorBidi"/>
          <w:b/>
          <w:bCs/>
          <w:sz w:val="26"/>
          <w:szCs w:val="26"/>
        </w:rPr>
      </w:pPr>
      <w:r>
        <w:rPr>
          <w:rFonts w:ascii="Garamond" w:hAnsi="Garamond" w:cstheme="majorBidi"/>
          <w:b/>
          <w:bCs/>
          <w:sz w:val="26"/>
          <w:szCs w:val="26"/>
        </w:rPr>
        <w:t>Mission 1 : Analyse juridique, institutionnelle et comparative</w:t>
      </w:r>
    </w:p>
    <w:p w:rsidR="003B5EBC" w:rsidRDefault="003B5EBC">
      <w:pPr>
        <w:pStyle w:val="Paragraphedeliste"/>
        <w:spacing w:after="0"/>
        <w:ind w:left="284"/>
        <w:jc w:val="both"/>
        <w:rPr>
          <w:rFonts w:ascii="Garamond" w:hAnsi="Garamond" w:cstheme="majorBidi"/>
          <w:b/>
          <w:bCs/>
          <w:sz w:val="26"/>
          <w:szCs w:val="26"/>
        </w:rPr>
      </w:pPr>
    </w:p>
    <w:p w:rsidR="003B5EBC" w:rsidRDefault="00A1518B">
      <w:pPr>
        <w:spacing w:after="0"/>
        <w:jc w:val="both"/>
        <w:rPr>
          <w:rFonts w:ascii="Garamond" w:hAnsi="Garamond" w:cstheme="majorBidi"/>
          <w:sz w:val="24"/>
          <w:szCs w:val="24"/>
        </w:rPr>
      </w:pPr>
      <w:r>
        <w:rPr>
          <w:rFonts w:ascii="Garamond" w:hAnsi="Garamond" w:cstheme="majorBidi"/>
          <w:sz w:val="24"/>
          <w:szCs w:val="24"/>
        </w:rPr>
        <w:t>Cette mission vise à établir la base analytique nécessaire à la conception du système électronique de permis APA. Elle permettra de comprendre le cadre juridique, les procédures existantes, les responsabilités institutionnelles et les expériences comparables pouvant inspirer le modèle marocain.</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b/>
          <w:bCs/>
          <w:color w:val="1F4E79" w:themeColor="accent1" w:themeShade="80"/>
          <w:sz w:val="24"/>
          <w:szCs w:val="24"/>
        </w:rPr>
      </w:pPr>
      <w:r>
        <w:rPr>
          <w:rFonts w:ascii="Garamond" w:hAnsi="Garamond" w:cstheme="majorBidi"/>
          <w:b/>
          <w:bCs/>
          <w:color w:val="1F4E79" w:themeColor="accent1" w:themeShade="80"/>
          <w:sz w:val="24"/>
          <w:szCs w:val="24"/>
        </w:rPr>
        <w:t>Activité 1.1 : Décortication du cadre réglementaire national de l’APA</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 xml:space="preserve">Le prestataire devra analyser le </w:t>
      </w:r>
      <w:hyperlink r:id="rId16" w:history="1">
        <w:r>
          <w:rPr>
            <w:rStyle w:val="Lienhypertexte"/>
            <w:rFonts w:ascii="Garamond" w:hAnsi="Garamond"/>
            <w:sz w:val="24"/>
            <w:szCs w:val="24"/>
          </w:rPr>
          <w:t>Cadre r</w:t>
        </w:r>
        <w:r>
          <w:rPr>
            <w:rStyle w:val="Lienhypertexte"/>
            <w:rFonts w:ascii="Garamond" w:eastAsia="Malgun Gothic" w:hAnsi="Garamond" w:cs="Malgun Gothic"/>
            <w:sz w:val="24"/>
            <w:szCs w:val="24"/>
          </w:rPr>
          <w:t>é</w:t>
        </w:r>
        <w:r>
          <w:rPr>
            <w:rStyle w:val="Lienhypertexte"/>
            <w:rFonts w:ascii="Garamond" w:hAnsi="Garamond"/>
            <w:sz w:val="24"/>
            <w:szCs w:val="24"/>
          </w:rPr>
          <w:t>glementaire national de l'APA</w:t>
        </w:r>
      </w:hyperlink>
      <w:r>
        <w:rPr>
          <w:rFonts w:ascii="Garamond" w:hAnsi="Garamond"/>
          <w:sz w:val="24"/>
          <w:szCs w:val="24"/>
        </w:rPr>
        <w:t xml:space="preserve"> </w:t>
      </w:r>
      <w:r>
        <w:rPr>
          <w:rFonts w:ascii="Garamond" w:hAnsi="Garamond" w:cstheme="majorBidi"/>
          <w:sz w:val="24"/>
          <w:szCs w:val="24"/>
        </w:rPr>
        <w:t>relatif à l’accès aux ressources génétiques afin d’en extraire les implications opérationnelles pour le futur système électronique de permis APA.</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Cette activité comprendra notamment :</w:t>
      </w:r>
    </w:p>
    <w:p w:rsidR="003B5EBC" w:rsidRDefault="00A1518B">
      <w:pPr>
        <w:numPr>
          <w:ilvl w:val="0"/>
          <w:numId w:val="10"/>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L’analyse des dispositions pertinentes du </w:t>
      </w:r>
      <w:hyperlink r:id="rId17" w:history="1">
        <w:r>
          <w:rPr>
            <w:rStyle w:val="Lienhypertexte"/>
            <w:rFonts w:ascii="Garamond" w:hAnsi="Garamond"/>
            <w:sz w:val="24"/>
            <w:szCs w:val="24"/>
          </w:rPr>
          <w:t>Cadre r</w:t>
        </w:r>
        <w:r>
          <w:rPr>
            <w:rStyle w:val="Lienhypertexte"/>
            <w:rFonts w:ascii="Garamond" w:eastAsia="Malgun Gothic" w:hAnsi="Garamond" w:cs="Malgun Gothic"/>
            <w:sz w:val="24"/>
            <w:szCs w:val="24"/>
          </w:rPr>
          <w:t>é</w:t>
        </w:r>
        <w:r>
          <w:rPr>
            <w:rStyle w:val="Lienhypertexte"/>
            <w:rFonts w:ascii="Garamond" w:hAnsi="Garamond"/>
            <w:sz w:val="24"/>
            <w:szCs w:val="24"/>
          </w:rPr>
          <w:t>glementaire national de l'APA</w:t>
        </w:r>
      </w:hyperlink>
      <w:r>
        <w:rPr>
          <w:rFonts w:ascii="Garamond" w:hAnsi="Garamond" w:cstheme="majorBidi"/>
          <w:color w:val="000000" w:themeColor="text1"/>
          <w:sz w:val="24"/>
          <w:szCs w:val="24"/>
        </w:rPr>
        <w:t xml:space="preserve">; </w:t>
      </w:r>
    </w:p>
    <w:p w:rsidR="003B5EBC" w:rsidRDefault="00A1518B">
      <w:pPr>
        <w:numPr>
          <w:ilvl w:val="0"/>
          <w:numId w:val="10"/>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L’identification des obligations des bioprospecteurs ; </w:t>
      </w:r>
    </w:p>
    <w:p w:rsidR="003B5EBC" w:rsidRDefault="00A1518B">
      <w:pPr>
        <w:numPr>
          <w:ilvl w:val="0"/>
          <w:numId w:val="10"/>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L’identification des responsabilités des autorités compétentes ; </w:t>
      </w:r>
    </w:p>
    <w:p w:rsidR="003B5EBC" w:rsidRDefault="00A1518B">
      <w:pPr>
        <w:numPr>
          <w:ilvl w:val="0"/>
          <w:numId w:val="10"/>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L’analyse des étapes du processus d’octroi d’accès ; </w:t>
      </w:r>
    </w:p>
    <w:p w:rsidR="003B5EBC" w:rsidRDefault="00A1518B">
      <w:pPr>
        <w:numPr>
          <w:ilvl w:val="0"/>
          <w:numId w:val="10"/>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L’analyse des délais, circuits de validation, pièces justificatives, notifications et modalités de suivi ; </w:t>
      </w:r>
    </w:p>
    <w:p w:rsidR="003B5EBC" w:rsidRDefault="00A1518B">
      <w:pPr>
        <w:numPr>
          <w:ilvl w:val="0"/>
          <w:numId w:val="10"/>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 traduction des dispositions juridiques en processus opérationnels et schémas fonctionnels ; </w:t>
      </w:r>
    </w:p>
    <w:p w:rsidR="003B5EBC" w:rsidRDefault="00A1518B">
      <w:pPr>
        <w:numPr>
          <w:ilvl w:val="0"/>
          <w:numId w:val="10"/>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L’identification des ajustements procéduraux nécessaires à la dématérialisation du processus.</w:t>
      </w:r>
    </w:p>
    <w:p w:rsidR="003B5EBC" w:rsidRDefault="003B5EBC">
      <w:pPr>
        <w:spacing w:after="0"/>
        <w:jc w:val="both"/>
        <w:rPr>
          <w:rFonts w:ascii="Garamond" w:hAnsi="Garamond" w:cstheme="majorBidi"/>
          <w:color w:val="0070C0"/>
          <w:sz w:val="24"/>
          <w:szCs w:val="24"/>
        </w:rPr>
      </w:pPr>
    </w:p>
    <w:p w:rsidR="003B5EBC" w:rsidRDefault="003B5EBC">
      <w:pPr>
        <w:spacing w:after="0"/>
        <w:jc w:val="both"/>
        <w:rPr>
          <w:rFonts w:ascii="Garamond" w:hAnsi="Garamond" w:cstheme="majorBidi"/>
          <w:color w:val="0070C0"/>
          <w:sz w:val="24"/>
          <w:szCs w:val="24"/>
        </w:rPr>
      </w:pPr>
    </w:p>
    <w:p w:rsidR="003B5EBC" w:rsidRDefault="00A1518B">
      <w:pPr>
        <w:spacing w:after="0"/>
        <w:jc w:val="both"/>
        <w:rPr>
          <w:rFonts w:ascii="Garamond" w:hAnsi="Garamond" w:cstheme="majorBidi"/>
          <w:color w:val="1F3864" w:themeColor="accent5" w:themeShade="80"/>
          <w:sz w:val="24"/>
          <w:szCs w:val="24"/>
        </w:rPr>
      </w:pPr>
      <w:r>
        <w:rPr>
          <w:rFonts w:ascii="Garamond" w:hAnsi="Garamond" w:cstheme="majorBidi"/>
          <w:color w:val="1F3864" w:themeColor="accent5" w:themeShade="80"/>
          <w:sz w:val="24"/>
          <w:szCs w:val="24"/>
        </w:rPr>
        <w:t>Livrable 1.1 — L1.1 : Note d’analyse juridique et réglementaire</w:t>
      </w:r>
    </w:p>
    <w:p w:rsidR="003B5EBC" w:rsidRDefault="00A1518B">
      <w:pPr>
        <w:spacing w:after="0"/>
        <w:jc w:val="both"/>
        <w:rPr>
          <w:rFonts w:ascii="Garamond" w:hAnsi="Garamond" w:cstheme="majorBidi"/>
          <w:sz w:val="24"/>
          <w:szCs w:val="24"/>
        </w:rPr>
      </w:pPr>
      <w:r>
        <w:rPr>
          <w:rFonts w:ascii="Garamond" w:hAnsi="Garamond" w:cstheme="majorBidi"/>
          <w:sz w:val="24"/>
          <w:szCs w:val="24"/>
        </w:rPr>
        <w:t>La note devra inclure :</w:t>
      </w:r>
    </w:p>
    <w:p w:rsidR="003B5EBC" w:rsidRDefault="00A1518B">
      <w:pPr>
        <w:numPr>
          <w:ilvl w:val="0"/>
          <w:numId w:val="11"/>
        </w:numPr>
        <w:spacing w:after="0"/>
        <w:jc w:val="both"/>
        <w:rPr>
          <w:rFonts w:ascii="Garamond" w:hAnsi="Garamond" w:cstheme="majorBidi"/>
          <w:sz w:val="24"/>
          <w:szCs w:val="24"/>
        </w:rPr>
      </w:pPr>
      <w:r>
        <w:rPr>
          <w:rFonts w:ascii="Garamond" w:hAnsi="Garamond" w:cstheme="majorBidi"/>
          <w:sz w:val="24"/>
          <w:szCs w:val="24"/>
        </w:rPr>
        <w:t xml:space="preserve">La décortication du </w:t>
      </w:r>
      <w:hyperlink r:id="rId18" w:history="1">
        <w:r>
          <w:rPr>
            <w:rStyle w:val="Lienhypertexte"/>
            <w:rFonts w:ascii="Garamond" w:hAnsi="Garamond"/>
            <w:sz w:val="24"/>
            <w:szCs w:val="24"/>
          </w:rPr>
          <w:t>Cadre r</w:t>
        </w:r>
        <w:r>
          <w:rPr>
            <w:rStyle w:val="Lienhypertexte"/>
            <w:rFonts w:ascii="Garamond" w:eastAsia="Malgun Gothic" w:hAnsi="Garamond" w:cs="Malgun Gothic"/>
            <w:sz w:val="24"/>
            <w:szCs w:val="24"/>
          </w:rPr>
          <w:t>é</w:t>
        </w:r>
        <w:r>
          <w:rPr>
            <w:rStyle w:val="Lienhypertexte"/>
            <w:rFonts w:ascii="Garamond" w:hAnsi="Garamond"/>
            <w:sz w:val="24"/>
            <w:szCs w:val="24"/>
          </w:rPr>
          <w:t>glementaire national de l'APA</w:t>
        </w:r>
      </w:hyperlink>
      <w:r>
        <w:rPr>
          <w:rFonts w:ascii="Garamond" w:hAnsi="Garamond" w:cstheme="majorBidi"/>
          <w:sz w:val="24"/>
          <w:szCs w:val="24"/>
        </w:rPr>
        <w:t xml:space="preserve">; </w:t>
      </w:r>
    </w:p>
    <w:p w:rsidR="003B5EBC" w:rsidRDefault="00A1518B">
      <w:pPr>
        <w:numPr>
          <w:ilvl w:val="0"/>
          <w:numId w:val="11"/>
        </w:numPr>
        <w:spacing w:after="0"/>
        <w:jc w:val="both"/>
        <w:rPr>
          <w:rFonts w:ascii="Garamond" w:hAnsi="Garamond" w:cstheme="majorBidi"/>
          <w:sz w:val="24"/>
          <w:szCs w:val="24"/>
        </w:rPr>
      </w:pPr>
      <w:r>
        <w:rPr>
          <w:rFonts w:ascii="Garamond" w:hAnsi="Garamond" w:cstheme="majorBidi"/>
          <w:sz w:val="24"/>
          <w:szCs w:val="24"/>
        </w:rPr>
        <w:t xml:space="preserve">Les implications opérationnelles pour le système électronique ; </w:t>
      </w:r>
    </w:p>
    <w:p w:rsidR="003B5EBC" w:rsidRDefault="00A1518B">
      <w:pPr>
        <w:numPr>
          <w:ilvl w:val="0"/>
          <w:numId w:val="11"/>
        </w:numPr>
        <w:spacing w:after="0"/>
        <w:jc w:val="both"/>
        <w:rPr>
          <w:rFonts w:ascii="Garamond" w:hAnsi="Garamond" w:cstheme="majorBidi"/>
          <w:sz w:val="24"/>
          <w:szCs w:val="24"/>
        </w:rPr>
      </w:pPr>
      <w:r>
        <w:rPr>
          <w:rFonts w:ascii="Garamond" w:hAnsi="Garamond" w:cstheme="majorBidi"/>
          <w:sz w:val="24"/>
          <w:szCs w:val="24"/>
        </w:rPr>
        <w:t xml:space="preserve">Les étapes juridiques et administratives du processus d’accès ; </w:t>
      </w:r>
    </w:p>
    <w:p w:rsidR="003B5EBC" w:rsidRDefault="00A1518B">
      <w:pPr>
        <w:numPr>
          <w:ilvl w:val="0"/>
          <w:numId w:val="11"/>
        </w:numPr>
        <w:spacing w:after="0"/>
        <w:jc w:val="both"/>
        <w:rPr>
          <w:rFonts w:ascii="Garamond" w:hAnsi="Garamond" w:cstheme="majorBidi"/>
          <w:sz w:val="24"/>
          <w:szCs w:val="24"/>
        </w:rPr>
      </w:pPr>
      <w:r>
        <w:rPr>
          <w:rFonts w:ascii="Garamond" w:hAnsi="Garamond" w:cstheme="majorBidi"/>
          <w:sz w:val="24"/>
          <w:szCs w:val="24"/>
        </w:rPr>
        <w:t xml:space="preserve">Les obligations des bioprospecteurs ; </w:t>
      </w:r>
    </w:p>
    <w:p w:rsidR="003B5EBC" w:rsidRDefault="00A1518B">
      <w:pPr>
        <w:numPr>
          <w:ilvl w:val="0"/>
          <w:numId w:val="11"/>
        </w:numPr>
        <w:spacing w:after="0"/>
        <w:jc w:val="both"/>
        <w:rPr>
          <w:rFonts w:ascii="Garamond" w:hAnsi="Garamond" w:cstheme="majorBidi"/>
          <w:sz w:val="24"/>
          <w:szCs w:val="24"/>
        </w:rPr>
      </w:pPr>
      <w:r>
        <w:rPr>
          <w:rFonts w:ascii="Garamond" w:hAnsi="Garamond" w:cstheme="majorBidi"/>
          <w:sz w:val="24"/>
          <w:szCs w:val="24"/>
        </w:rPr>
        <w:t xml:space="preserve">Les responsabilités des autorités compétentes ; </w:t>
      </w:r>
    </w:p>
    <w:p w:rsidR="003B5EBC" w:rsidRDefault="00A1518B">
      <w:pPr>
        <w:numPr>
          <w:ilvl w:val="0"/>
          <w:numId w:val="11"/>
        </w:numPr>
        <w:spacing w:after="0"/>
        <w:jc w:val="both"/>
        <w:rPr>
          <w:rFonts w:ascii="Garamond" w:hAnsi="Garamond" w:cstheme="majorBidi"/>
          <w:sz w:val="24"/>
          <w:szCs w:val="24"/>
        </w:rPr>
      </w:pPr>
      <w:r>
        <w:rPr>
          <w:rFonts w:ascii="Garamond" w:hAnsi="Garamond" w:cstheme="majorBidi"/>
          <w:sz w:val="24"/>
          <w:szCs w:val="24"/>
        </w:rPr>
        <w:t xml:space="preserve">Les délais, circuits de validation et exigences documentaires ; </w:t>
      </w:r>
    </w:p>
    <w:p w:rsidR="003B5EBC" w:rsidRDefault="00A1518B">
      <w:pPr>
        <w:numPr>
          <w:ilvl w:val="0"/>
          <w:numId w:val="11"/>
        </w:numPr>
        <w:spacing w:after="0"/>
        <w:jc w:val="both"/>
        <w:rPr>
          <w:rFonts w:ascii="Garamond" w:hAnsi="Garamond" w:cstheme="majorBidi"/>
          <w:sz w:val="24"/>
          <w:szCs w:val="24"/>
        </w:rPr>
      </w:pPr>
      <w:r>
        <w:rPr>
          <w:rFonts w:ascii="Garamond" w:hAnsi="Garamond" w:cstheme="majorBidi"/>
          <w:sz w:val="24"/>
          <w:szCs w:val="24"/>
        </w:rPr>
        <w:t>Les recommandations pour intégrer ces exigences dans le système.</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i/>
          <w:iCs/>
          <w:sz w:val="24"/>
          <w:szCs w:val="24"/>
        </w:rPr>
      </w:pPr>
      <w:r>
        <w:rPr>
          <w:rFonts w:ascii="Garamond" w:hAnsi="Garamond"/>
          <w:i/>
          <w:iCs/>
          <w:sz w:val="24"/>
          <w:szCs w:val="24"/>
        </w:rPr>
        <w:t>Délai indicatif : 45 jours (1,5 mois) après la signature du contrat.</w:t>
      </w:r>
    </w:p>
    <w:p w:rsidR="003B5EBC" w:rsidRDefault="003B5EBC">
      <w:pPr>
        <w:spacing w:after="0"/>
        <w:jc w:val="both"/>
        <w:rPr>
          <w:rFonts w:ascii="Garamond" w:hAnsi="Garamond" w:cstheme="majorBidi"/>
          <w:sz w:val="24"/>
          <w:szCs w:val="24"/>
        </w:rPr>
      </w:pP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b/>
          <w:bCs/>
          <w:color w:val="1F4E79" w:themeColor="accent1" w:themeShade="80"/>
          <w:sz w:val="24"/>
          <w:szCs w:val="24"/>
        </w:rPr>
      </w:pPr>
      <w:r>
        <w:rPr>
          <w:rFonts w:ascii="Garamond" w:hAnsi="Garamond" w:cstheme="majorBidi"/>
          <w:b/>
          <w:bCs/>
          <w:color w:val="1F4E79" w:themeColor="accent1" w:themeShade="80"/>
          <w:sz w:val="24"/>
          <w:szCs w:val="24"/>
        </w:rPr>
        <w:t>Activité 1.2 : Cartographie des procédures existantes et analyse institutionnelle</w:t>
      </w:r>
    </w:p>
    <w:p w:rsidR="003B5EBC" w:rsidRDefault="003B5EBC">
      <w:pPr>
        <w:spacing w:after="0"/>
        <w:jc w:val="both"/>
        <w:rPr>
          <w:rFonts w:ascii="Garamond" w:hAnsi="Garamond" w:cstheme="majorBidi"/>
          <w:b/>
          <w:bCs/>
          <w:color w:val="0070C0"/>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Le prestataire devra analyser les procédures actuellement appliquées en matière d’accès aux ressources génétiques et d’autorisations connexes.</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Cette activité comprendra notamment :</w:t>
      </w:r>
    </w:p>
    <w:p w:rsidR="003B5EBC" w:rsidRDefault="00A1518B">
      <w:pPr>
        <w:numPr>
          <w:ilvl w:val="1"/>
          <w:numId w:val="12"/>
        </w:numPr>
        <w:spacing w:after="0"/>
        <w:jc w:val="both"/>
        <w:rPr>
          <w:rFonts w:ascii="Garamond" w:hAnsi="Garamond" w:cstheme="majorBidi"/>
          <w:sz w:val="24"/>
          <w:szCs w:val="24"/>
        </w:rPr>
      </w:pPr>
      <w:r>
        <w:rPr>
          <w:rFonts w:ascii="Garamond" w:hAnsi="Garamond" w:cstheme="majorBidi"/>
          <w:sz w:val="24"/>
          <w:szCs w:val="24"/>
        </w:rPr>
        <w:t xml:space="preserve">L’identification des procédures existantes, y compris celles gérées sur support papier ; </w:t>
      </w:r>
    </w:p>
    <w:p w:rsidR="003B5EBC" w:rsidRDefault="00A1518B">
      <w:pPr>
        <w:numPr>
          <w:ilvl w:val="1"/>
          <w:numId w:val="12"/>
        </w:numPr>
        <w:spacing w:after="0"/>
        <w:jc w:val="both"/>
        <w:rPr>
          <w:rFonts w:ascii="Garamond" w:hAnsi="Garamond" w:cstheme="majorBidi"/>
          <w:sz w:val="24"/>
          <w:szCs w:val="24"/>
        </w:rPr>
      </w:pPr>
      <w:r>
        <w:rPr>
          <w:rFonts w:ascii="Garamond" w:hAnsi="Garamond" w:cstheme="majorBidi"/>
          <w:sz w:val="24"/>
          <w:szCs w:val="24"/>
        </w:rPr>
        <w:t xml:space="preserve">La cartographie des circuits administratifs actuels ; </w:t>
      </w:r>
    </w:p>
    <w:p w:rsidR="003B5EBC" w:rsidRDefault="00A1518B">
      <w:pPr>
        <w:numPr>
          <w:ilvl w:val="1"/>
          <w:numId w:val="12"/>
        </w:numPr>
        <w:spacing w:after="0"/>
        <w:jc w:val="both"/>
        <w:rPr>
          <w:rFonts w:ascii="Garamond" w:hAnsi="Garamond" w:cstheme="majorBidi"/>
          <w:sz w:val="24"/>
          <w:szCs w:val="24"/>
        </w:rPr>
      </w:pPr>
      <w:r>
        <w:rPr>
          <w:rFonts w:ascii="Garamond" w:hAnsi="Garamond" w:cstheme="majorBidi"/>
          <w:sz w:val="24"/>
          <w:szCs w:val="24"/>
        </w:rPr>
        <w:t xml:space="preserve">L’identification des documents requis, étapes de traitement et acteurs impliqués ; </w:t>
      </w:r>
    </w:p>
    <w:p w:rsidR="003B5EBC" w:rsidRDefault="00A1518B">
      <w:pPr>
        <w:numPr>
          <w:ilvl w:val="1"/>
          <w:numId w:val="12"/>
        </w:numPr>
        <w:spacing w:after="0"/>
        <w:jc w:val="both"/>
        <w:rPr>
          <w:rFonts w:ascii="Garamond" w:hAnsi="Garamond" w:cstheme="majorBidi"/>
          <w:sz w:val="24"/>
          <w:szCs w:val="24"/>
        </w:rPr>
      </w:pPr>
      <w:r>
        <w:rPr>
          <w:rFonts w:ascii="Garamond" w:hAnsi="Garamond" w:cstheme="majorBidi"/>
          <w:sz w:val="24"/>
          <w:szCs w:val="24"/>
        </w:rPr>
        <w:t xml:space="preserve">L’analyse des rôles du MTEDD-DDD, du point focal APA, du secrétariat, du CNRG, du MAPMDREF, de l’ANEF et des autres institutions pertinentes ; </w:t>
      </w:r>
    </w:p>
    <w:p w:rsidR="003B5EBC" w:rsidRDefault="00A1518B">
      <w:pPr>
        <w:numPr>
          <w:ilvl w:val="1"/>
          <w:numId w:val="12"/>
        </w:numPr>
        <w:spacing w:after="0"/>
        <w:jc w:val="both"/>
        <w:rPr>
          <w:rFonts w:ascii="Garamond" w:hAnsi="Garamond" w:cstheme="majorBidi"/>
          <w:sz w:val="24"/>
          <w:szCs w:val="24"/>
        </w:rPr>
      </w:pPr>
      <w:r>
        <w:rPr>
          <w:rFonts w:ascii="Garamond" w:hAnsi="Garamond" w:cstheme="majorBidi"/>
          <w:sz w:val="24"/>
          <w:szCs w:val="24"/>
        </w:rPr>
        <w:t xml:space="preserve">L’identification des points de blocage, doublons, lacunes et chevauchements de responsabilités ; </w:t>
      </w:r>
    </w:p>
    <w:p w:rsidR="003B5EBC" w:rsidRDefault="00A1518B">
      <w:pPr>
        <w:numPr>
          <w:ilvl w:val="1"/>
          <w:numId w:val="12"/>
        </w:numPr>
        <w:spacing w:after="0"/>
        <w:jc w:val="both"/>
        <w:rPr>
          <w:rFonts w:ascii="Garamond" w:hAnsi="Garamond" w:cstheme="majorBidi"/>
          <w:sz w:val="24"/>
          <w:szCs w:val="24"/>
        </w:rPr>
      </w:pPr>
      <w:r>
        <w:rPr>
          <w:rFonts w:ascii="Garamond" w:hAnsi="Garamond" w:cstheme="majorBidi"/>
          <w:sz w:val="24"/>
          <w:szCs w:val="24"/>
        </w:rPr>
        <w:t xml:space="preserve">La proposition de mécanismes de coordination et de partage d’informations ; </w:t>
      </w:r>
    </w:p>
    <w:p w:rsidR="003B5EBC" w:rsidRDefault="00A1518B">
      <w:pPr>
        <w:numPr>
          <w:ilvl w:val="1"/>
          <w:numId w:val="12"/>
        </w:numPr>
        <w:spacing w:after="0"/>
        <w:jc w:val="both"/>
        <w:rPr>
          <w:rFonts w:ascii="Garamond" w:hAnsi="Garamond" w:cstheme="majorBidi"/>
          <w:sz w:val="24"/>
          <w:szCs w:val="24"/>
        </w:rPr>
      </w:pPr>
      <w:r>
        <w:rPr>
          <w:rFonts w:ascii="Garamond" w:hAnsi="Garamond" w:cstheme="majorBidi"/>
          <w:sz w:val="24"/>
          <w:szCs w:val="24"/>
        </w:rPr>
        <w:t>La proposition d’un modèle de gouvernance coordonnée.</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color w:val="1F3864" w:themeColor="accent5" w:themeShade="80"/>
          <w:sz w:val="24"/>
          <w:szCs w:val="24"/>
        </w:rPr>
      </w:pPr>
      <w:r>
        <w:rPr>
          <w:rFonts w:ascii="Garamond" w:hAnsi="Garamond" w:cstheme="majorBidi"/>
          <w:color w:val="1F3864" w:themeColor="accent5" w:themeShade="80"/>
          <w:sz w:val="24"/>
          <w:szCs w:val="24"/>
        </w:rPr>
        <w:t>Livrable 1.2 — L1.2 : Rapport de cartographie des procédures et de gouvernance institutionnelle</w:t>
      </w:r>
    </w:p>
    <w:p w:rsidR="003B5EBC" w:rsidRDefault="00A1518B">
      <w:pPr>
        <w:spacing w:after="0"/>
        <w:jc w:val="both"/>
        <w:rPr>
          <w:rFonts w:ascii="Garamond" w:hAnsi="Garamond" w:cstheme="majorBidi"/>
          <w:sz w:val="24"/>
          <w:szCs w:val="24"/>
        </w:rPr>
      </w:pPr>
      <w:r>
        <w:rPr>
          <w:rFonts w:ascii="Garamond" w:hAnsi="Garamond" w:cstheme="majorBidi"/>
          <w:sz w:val="24"/>
          <w:szCs w:val="24"/>
        </w:rPr>
        <w:t>Le rapport devra inclure :</w:t>
      </w:r>
    </w:p>
    <w:p w:rsidR="003B5EBC" w:rsidRDefault="00A1518B">
      <w:pPr>
        <w:numPr>
          <w:ilvl w:val="0"/>
          <w:numId w:val="13"/>
        </w:numPr>
        <w:tabs>
          <w:tab w:val="clear" w:pos="720"/>
          <w:tab w:val="left" w:pos="284"/>
        </w:tabs>
        <w:spacing w:after="0"/>
        <w:jc w:val="both"/>
        <w:rPr>
          <w:rFonts w:ascii="Garamond" w:hAnsi="Garamond" w:cstheme="majorBidi"/>
          <w:sz w:val="24"/>
          <w:szCs w:val="24"/>
        </w:rPr>
      </w:pPr>
      <w:r>
        <w:rPr>
          <w:rFonts w:ascii="Garamond" w:hAnsi="Garamond" w:cstheme="majorBidi"/>
          <w:sz w:val="24"/>
          <w:szCs w:val="24"/>
        </w:rPr>
        <w:t xml:space="preserve">La cartographie des procédures existantes ; </w:t>
      </w:r>
    </w:p>
    <w:p w:rsidR="003B5EBC" w:rsidRDefault="00A1518B">
      <w:pPr>
        <w:numPr>
          <w:ilvl w:val="0"/>
          <w:numId w:val="13"/>
        </w:numPr>
        <w:tabs>
          <w:tab w:val="clear" w:pos="720"/>
          <w:tab w:val="left" w:pos="284"/>
        </w:tabs>
        <w:spacing w:after="0"/>
        <w:jc w:val="both"/>
        <w:rPr>
          <w:rFonts w:ascii="Garamond" w:hAnsi="Garamond" w:cstheme="majorBidi"/>
          <w:sz w:val="24"/>
          <w:szCs w:val="24"/>
        </w:rPr>
      </w:pPr>
      <w:r>
        <w:rPr>
          <w:rFonts w:ascii="Garamond" w:hAnsi="Garamond" w:cstheme="majorBidi"/>
          <w:sz w:val="24"/>
          <w:szCs w:val="24"/>
        </w:rPr>
        <w:t xml:space="preserve">Les circuits administratifs actuels ; </w:t>
      </w:r>
    </w:p>
    <w:p w:rsidR="003B5EBC" w:rsidRDefault="00A1518B">
      <w:pPr>
        <w:numPr>
          <w:ilvl w:val="0"/>
          <w:numId w:val="13"/>
        </w:numPr>
        <w:tabs>
          <w:tab w:val="clear" w:pos="720"/>
          <w:tab w:val="left" w:pos="284"/>
        </w:tabs>
        <w:spacing w:after="0"/>
        <w:jc w:val="both"/>
        <w:rPr>
          <w:rFonts w:ascii="Garamond" w:hAnsi="Garamond" w:cstheme="majorBidi"/>
          <w:sz w:val="24"/>
          <w:szCs w:val="24"/>
        </w:rPr>
      </w:pPr>
      <w:r>
        <w:rPr>
          <w:rFonts w:ascii="Garamond" w:hAnsi="Garamond" w:cstheme="majorBidi"/>
          <w:sz w:val="24"/>
          <w:szCs w:val="24"/>
        </w:rPr>
        <w:t xml:space="preserve">L’analyse des rôles et responsabilités institutionnelles ; </w:t>
      </w:r>
    </w:p>
    <w:p w:rsidR="003B5EBC" w:rsidRDefault="00A1518B">
      <w:pPr>
        <w:numPr>
          <w:ilvl w:val="0"/>
          <w:numId w:val="13"/>
        </w:numPr>
        <w:tabs>
          <w:tab w:val="clear" w:pos="720"/>
          <w:tab w:val="left" w:pos="284"/>
        </w:tabs>
        <w:spacing w:after="0"/>
        <w:jc w:val="both"/>
        <w:rPr>
          <w:rFonts w:ascii="Garamond" w:hAnsi="Garamond" w:cstheme="majorBidi"/>
          <w:sz w:val="24"/>
          <w:szCs w:val="24"/>
        </w:rPr>
      </w:pPr>
      <w:r>
        <w:rPr>
          <w:rFonts w:ascii="Garamond" w:hAnsi="Garamond" w:cstheme="majorBidi"/>
          <w:sz w:val="24"/>
          <w:szCs w:val="24"/>
        </w:rPr>
        <w:t xml:space="preserve">Les points de blocage, chevauchements et lacunes identifiés ; </w:t>
      </w:r>
    </w:p>
    <w:p w:rsidR="003B5EBC" w:rsidRDefault="00A1518B">
      <w:pPr>
        <w:numPr>
          <w:ilvl w:val="0"/>
          <w:numId w:val="13"/>
        </w:numPr>
        <w:tabs>
          <w:tab w:val="clear" w:pos="720"/>
          <w:tab w:val="left" w:pos="284"/>
        </w:tabs>
        <w:spacing w:after="0"/>
        <w:jc w:val="both"/>
        <w:rPr>
          <w:rFonts w:ascii="Garamond" w:hAnsi="Garamond" w:cstheme="majorBidi"/>
          <w:sz w:val="24"/>
          <w:szCs w:val="24"/>
        </w:rPr>
      </w:pPr>
      <w:r>
        <w:rPr>
          <w:rFonts w:ascii="Garamond" w:hAnsi="Garamond" w:cstheme="majorBidi"/>
          <w:sz w:val="24"/>
          <w:szCs w:val="24"/>
        </w:rPr>
        <w:t xml:space="preserve">Les besoins d’harmonisation ; </w:t>
      </w:r>
    </w:p>
    <w:p w:rsidR="003B5EBC" w:rsidRDefault="00A1518B">
      <w:pPr>
        <w:numPr>
          <w:ilvl w:val="0"/>
          <w:numId w:val="13"/>
        </w:numPr>
        <w:tabs>
          <w:tab w:val="clear" w:pos="720"/>
          <w:tab w:val="left" w:pos="284"/>
        </w:tabs>
        <w:spacing w:after="0"/>
        <w:jc w:val="both"/>
        <w:rPr>
          <w:rFonts w:ascii="Garamond" w:hAnsi="Garamond" w:cstheme="majorBidi"/>
          <w:sz w:val="24"/>
          <w:szCs w:val="24"/>
        </w:rPr>
      </w:pPr>
      <w:r>
        <w:rPr>
          <w:rFonts w:ascii="Garamond" w:hAnsi="Garamond" w:cstheme="majorBidi"/>
          <w:sz w:val="24"/>
          <w:szCs w:val="24"/>
        </w:rPr>
        <w:t xml:space="preserve">Le modèle proposé de gouvernance coordonnée ; </w:t>
      </w:r>
    </w:p>
    <w:p w:rsidR="003B5EBC" w:rsidRDefault="00A1518B">
      <w:pPr>
        <w:numPr>
          <w:ilvl w:val="0"/>
          <w:numId w:val="13"/>
        </w:numPr>
        <w:tabs>
          <w:tab w:val="clear" w:pos="720"/>
          <w:tab w:val="left" w:pos="284"/>
        </w:tabs>
        <w:spacing w:after="0"/>
        <w:jc w:val="both"/>
        <w:rPr>
          <w:rFonts w:ascii="Garamond" w:hAnsi="Garamond" w:cstheme="majorBidi"/>
          <w:sz w:val="24"/>
          <w:szCs w:val="24"/>
        </w:rPr>
      </w:pPr>
      <w:r>
        <w:rPr>
          <w:rFonts w:ascii="Garamond" w:hAnsi="Garamond" w:cstheme="majorBidi"/>
          <w:sz w:val="24"/>
          <w:szCs w:val="24"/>
        </w:rPr>
        <w:t>Les schémas de fonctionnement institutionnel.</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i/>
          <w:iCs/>
          <w:sz w:val="24"/>
          <w:szCs w:val="24"/>
        </w:rPr>
      </w:pPr>
      <w:r>
        <w:rPr>
          <w:rFonts w:ascii="Garamond" w:hAnsi="Garamond" w:cstheme="majorBidi"/>
          <w:i/>
          <w:iCs/>
          <w:sz w:val="24"/>
          <w:szCs w:val="24"/>
        </w:rPr>
        <w:t>Délai indicatif : 60 jours (2mois) après la signature du contrat.</w:t>
      </w:r>
    </w:p>
    <w:p w:rsidR="003B5EBC" w:rsidRDefault="003B5EBC">
      <w:pPr>
        <w:spacing w:after="0"/>
        <w:jc w:val="both"/>
        <w:rPr>
          <w:rFonts w:ascii="Garamond" w:hAnsi="Garamond" w:cstheme="majorBidi"/>
          <w:b/>
          <w:bCs/>
          <w:color w:val="0070C0"/>
          <w:sz w:val="24"/>
          <w:szCs w:val="24"/>
        </w:rPr>
      </w:pPr>
    </w:p>
    <w:p w:rsidR="003B5EBC" w:rsidRDefault="003B5EBC">
      <w:pPr>
        <w:spacing w:after="0"/>
        <w:jc w:val="both"/>
        <w:rPr>
          <w:rFonts w:ascii="Garamond" w:hAnsi="Garamond" w:cstheme="majorBidi"/>
          <w:b/>
          <w:bCs/>
          <w:color w:val="0070C0"/>
          <w:sz w:val="24"/>
          <w:szCs w:val="24"/>
        </w:rPr>
      </w:pPr>
    </w:p>
    <w:p w:rsidR="003B5EBC" w:rsidRDefault="00A1518B">
      <w:pPr>
        <w:spacing w:after="0"/>
        <w:jc w:val="both"/>
        <w:rPr>
          <w:rFonts w:ascii="Garamond" w:hAnsi="Garamond" w:cstheme="majorBidi"/>
          <w:b/>
          <w:bCs/>
          <w:color w:val="1F4E79" w:themeColor="accent1" w:themeShade="80"/>
          <w:sz w:val="24"/>
          <w:szCs w:val="24"/>
        </w:rPr>
      </w:pPr>
      <w:r>
        <w:rPr>
          <w:rFonts w:ascii="Garamond" w:hAnsi="Garamond" w:cstheme="majorBidi"/>
          <w:b/>
          <w:bCs/>
          <w:color w:val="1F4E79" w:themeColor="accent1" w:themeShade="80"/>
          <w:sz w:val="24"/>
          <w:szCs w:val="24"/>
        </w:rPr>
        <w:t>Activité 1.3 : Benchmark national et international des systèmes électroniques de permis APA</w:t>
      </w:r>
    </w:p>
    <w:p w:rsidR="003B5EBC" w:rsidRDefault="00A1518B">
      <w:p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Le prestataire devra réaliser une étude comparative des systèmes électroniques de permis APA, guichets uniques et plateformes interconnectées similaires, afin d’identifier les bonnes pratiques et les modèles adaptables au contexte marocain.</w:t>
      </w:r>
    </w:p>
    <w:p w:rsidR="003B5EBC" w:rsidRDefault="003B5EBC">
      <w:pPr>
        <w:spacing w:after="0"/>
        <w:jc w:val="both"/>
        <w:rPr>
          <w:rFonts w:ascii="Garamond" w:hAnsi="Garamond" w:cstheme="majorBidi"/>
          <w:color w:val="000000" w:themeColor="text1"/>
          <w:sz w:val="24"/>
          <w:szCs w:val="24"/>
        </w:rPr>
      </w:pPr>
    </w:p>
    <w:p w:rsidR="003B5EBC" w:rsidRDefault="00A1518B">
      <w:p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Cette activité comprendra notamment :</w:t>
      </w:r>
    </w:p>
    <w:p w:rsidR="003B5EBC" w:rsidRDefault="00A1518B">
      <w:pPr>
        <w:numPr>
          <w:ilvl w:val="1"/>
          <w:numId w:val="14"/>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L’analyse d’expériences africaines pertinentes, notamment le Kenya, le Cameroun ou d’autres pays disposant de systèmes comparables ; </w:t>
      </w:r>
    </w:p>
    <w:p w:rsidR="003B5EBC" w:rsidRDefault="00A1518B">
      <w:pPr>
        <w:numPr>
          <w:ilvl w:val="1"/>
          <w:numId w:val="14"/>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L’analyse d’exemples internationaux utiles, tels que le Brésil, l’Inde, l’Union européenne ou d’autres modèles pertinents ; </w:t>
      </w:r>
    </w:p>
    <w:p w:rsidR="003B5EBC" w:rsidRDefault="00A1518B">
      <w:pPr>
        <w:numPr>
          <w:ilvl w:val="1"/>
          <w:numId w:val="14"/>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L’étude des modèles de guichet unique et plateformes interconnectées ; </w:t>
      </w:r>
    </w:p>
    <w:p w:rsidR="003B5EBC" w:rsidRDefault="00A1518B">
      <w:pPr>
        <w:numPr>
          <w:ilvl w:val="1"/>
          <w:numId w:val="14"/>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lastRenderedPageBreak/>
        <w:t xml:space="preserve">L’analyse des fonctionnalités utilisées : dépôt en ligne, suivi du statut, notifications, instruction multi-acteurs, reporting, archivage, contrôle de conformité ; </w:t>
      </w:r>
    </w:p>
    <w:p w:rsidR="003B5EBC" w:rsidRDefault="00A1518B">
      <w:pPr>
        <w:numPr>
          <w:ilvl w:val="1"/>
          <w:numId w:val="14"/>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L’analyse des mécanismes de gouvernance, de transparence, de partage des avantages et de coordination institutionnelle ; </w:t>
      </w:r>
    </w:p>
    <w:p w:rsidR="003B5EBC" w:rsidRDefault="00A1518B">
      <w:pPr>
        <w:numPr>
          <w:ilvl w:val="1"/>
          <w:numId w:val="14"/>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L’identification des exigences techniques récurrentes : logiciels, bases de données, automatisation, sécurité, interopérabilité, hébergement, maintenance ; </w:t>
      </w:r>
    </w:p>
    <w:p w:rsidR="003B5EBC" w:rsidRDefault="00A1518B">
      <w:pPr>
        <w:numPr>
          <w:ilvl w:val="1"/>
          <w:numId w:val="14"/>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L’analyse des défis rencontrés et des leçons apprises ; </w:t>
      </w:r>
    </w:p>
    <w:p w:rsidR="003B5EBC" w:rsidRDefault="00A1518B">
      <w:pPr>
        <w:numPr>
          <w:ilvl w:val="1"/>
          <w:numId w:val="14"/>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L’analyse approfondie de l’expérience du Cameroun en matière de guichet de permis en ligne, afin de comprendre son mécanisme institutionnel, fonctionnel et technique. L’équipe projet pourra faciliter la conduite d’échanges techniques en ligne avec les responsables ou gestionnaires du système camerounais</w:t>
      </w:r>
      <w:r>
        <w:rPr>
          <w:rFonts w:ascii="Garamond" w:hAnsi="Garamond" w:cstheme="majorBidi"/>
          <w:color w:val="000000" w:themeColor="text1"/>
          <w:sz w:val="24"/>
          <w:szCs w:val="24"/>
          <w:vertAlign w:val="superscript"/>
        </w:rPr>
        <w:footnoteReference w:id="1"/>
      </w:r>
      <w:r>
        <w:rPr>
          <w:rFonts w:ascii="Garamond" w:hAnsi="Garamond" w:cstheme="majorBidi"/>
          <w:color w:val="000000" w:themeColor="text1"/>
          <w:sz w:val="24"/>
          <w:szCs w:val="24"/>
        </w:rPr>
        <w:t xml:space="preserve"> ; </w:t>
      </w:r>
    </w:p>
    <w:p w:rsidR="003B5EBC" w:rsidRDefault="00A1518B">
      <w:pPr>
        <w:numPr>
          <w:ilvl w:val="1"/>
          <w:numId w:val="14"/>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 réalisation d’une mission internationale d’échange technique en présentiel auprès de l’expérience camerounaise, d’une durée maximale de deux jours, incluant deux personnes; </w:t>
      </w:r>
    </w:p>
    <w:p w:rsidR="003B5EBC" w:rsidRDefault="00A1518B">
      <w:pPr>
        <w:numPr>
          <w:ilvl w:val="1"/>
          <w:numId w:val="14"/>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 capitalisation des enseignements issus de l’expérience camerounaise dans le rapport de benchmark ; </w:t>
      </w:r>
    </w:p>
    <w:p w:rsidR="003B5EBC" w:rsidRDefault="00A1518B">
      <w:pPr>
        <w:numPr>
          <w:ilvl w:val="1"/>
          <w:numId w:val="14"/>
        </w:num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La formulation de recommandations adaptées au contexte marocain.</w:t>
      </w:r>
    </w:p>
    <w:p w:rsidR="003B5EBC" w:rsidRDefault="003B5EBC">
      <w:pPr>
        <w:rPr>
          <w:rFonts w:ascii="Garamond" w:hAnsi="Garamond"/>
          <w:color w:val="0070C0"/>
        </w:rPr>
      </w:pPr>
    </w:p>
    <w:p w:rsidR="003B5EBC" w:rsidRDefault="00A1518B">
      <w:pPr>
        <w:spacing w:after="0"/>
        <w:rPr>
          <w:rFonts w:ascii="Garamond" w:hAnsi="Garamond"/>
          <w:color w:val="1F3864" w:themeColor="accent5" w:themeShade="80"/>
          <w:sz w:val="24"/>
          <w:szCs w:val="24"/>
        </w:rPr>
      </w:pPr>
      <w:r>
        <w:rPr>
          <w:rFonts w:ascii="Garamond" w:hAnsi="Garamond"/>
          <w:color w:val="1F3864" w:themeColor="accent5" w:themeShade="80"/>
          <w:sz w:val="24"/>
          <w:szCs w:val="24"/>
        </w:rPr>
        <w:t>Livrable 1.3 — L1.3 : Rapport de benchmark et recommandations pour le système marocain</w:t>
      </w:r>
    </w:p>
    <w:p w:rsidR="003B5EBC" w:rsidRDefault="00A1518B">
      <w:p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Le rapport devra inclure :</w:t>
      </w:r>
    </w:p>
    <w:p w:rsidR="003B5EBC" w:rsidRDefault="00A1518B">
      <w:pPr>
        <w:numPr>
          <w:ilvl w:val="0"/>
          <w:numId w:val="15"/>
        </w:numPr>
        <w:tabs>
          <w:tab w:val="left" w:pos="426"/>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L’étude comparative des expériences sélectionnées ; </w:t>
      </w:r>
    </w:p>
    <w:p w:rsidR="003B5EBC" w:rsidRDefault="00A1518B">
      <w:pPr>
        <w:numPr>
          <w:ilvl w:val="0"/>
          <w:numId w:val="15"/>
        </w:numPr>
        <w:tabs>
          <w:tab w:val="left" w:pos="426"/>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L’analyse des modèles de guichet unique et plateformes interconnectées ; </w:t>
      </w:r>
    </w:p>
    <w:p w:rsidR="003B5EBC" w:rsidRDefault="00A1518B">
      <w:pPr>
        <w:numPr>
          <w:ilvl w:val="0"/>
          <w:numId w:val="15"/>
        </w:numPr>
        <w:tabs>
          <w:tab w:val="left" w:pos="426"/>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Une analyse spécifique de l’expérience camerounaise et des enseignements pouvant être adaptés au contexte marocain ; </w:t>
      </w:r>
    </w:p>
    <w:p w:rsidR="003B5EBC" w:rsidRDefault="00A1518B">
      <w:pPr>
        <w:numPr>
          <w:ilvl w:val="0"/>
          <w:numId w:val="15"/>
        </w:numPr>
        <w:tabs>
          <w:tab w:val="left" w:pos="426"/>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Les bonnes pratiques identifiées ; </w:t>
      </w:r>
    </w:p>
    <w:p w:rsidR="003B5EBC" w:rsidRDefault="00A1518B">
      <w:pPr>
        <w:numPr>
          <w:ilvl w:val="0"/>
          <w:numId w:val="15"/>
        </w:numPr>
        <w:tabs>
          <w:tab w:val="left" w:pos="426"/>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Les défis et facteurs de réussite ; </w:t>
      </w:r>
    </w:p>
    <w:p w:rsidR="003B5EBC" w:rsidRDefault="00A1518B">
      <w:pPr>
        <w:numPr>
          <w:ilvl w:val="0"/>
          <w:numId w:val="15"/>
        </w:numPr>
        <w:tabs>
          <w:tab w:val="left" w:pos="426"/>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Les exigences techniques et organisationnelles observées ; </w:t>
      </w:r>
    </w:p>
    <w:p w:rsidR="003B5EBC" w:rsidRDefault="00A1518B">
      <w:pPr>
        <w:numPr>
          <w:ilvl w:val="0"/>
          <w:numId w:val="15"/>
        </w:numPr>
        <w:tabs>
          <w:tab w:val="left" w:pos="426"/>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Les conclusions des échanges techniques réalisés, en ligne ou en présentiel le cas échéant ; </w:t>
      </w:r>
    </w:p>
    <w:p w:rsidR="003B5EBC" w:rsidRDefault="00A1518B">
      <w:pPr>
        <w:numPr>
          <w:ilvl w:val="0"/>
          <w:numId w:val="15"/>
        </w:numPr>
        <w:tabs>
          <w:tab w:val="left" w:pos="426"/>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Les recommandations adaptées au contexte marocain.</w:t>
      </w:r>
    </w:p>
    <w:p w:rsidR="003B5EBC" w:rsidRDefault="003B5EBC">
      <w:pPr>
        <w:spacing w:after="0"/>
        <w:jc w:val="both"/>
        <w:rPr>
          <w:rFonts w:ascii="Garamond" w:hAnsi="Garamond" w:cstheme="majorBidi"/>
          <w:color w:val="000000" w:themeColor="text1"/>
          <w:sz w:val="24"/>
          <w:szCs w:val="24"/>
        </w:rPr>
      </w:pPr>
    </w:p>
    <w:p w:rsidR="003B5EBC" w:rsidRDefault="00A1518B">
      <w:pPr>
        <w:spacing w:after="0"/>
        <w:rPr>
          <w:rFonts w:ascii="Garamond" w:hAnsi="Garamond"/>
          <w:i/>
          <w:iCs/>
          <w:sz w:val="24"/>
          <w:szCs w:val="24"/>
        </w:rPr>
      </w:pPr>
      <w:r>
        <w:rPr>
          <w:rFonts w:ascii="Garamond" w:hAnsi="Garamond"/>
          <w:i/>
          <w:iCs/>
          <w:sz w:val="24"/>
          <w:szCs w:val="24"/>
        </w:rPr>
        <w:t>Délai indicatif : 75 jours (2.5 mois) après la signature du contrat.</w:t>
      </w:r>
    </w:p>
    <w:p w:rsidR="003B5EBC" w:rsidRDefault="003B5EBC">
      <w:pPr>
        <w:spacing w:after="0"/>
        <w:jc w:val="both"/>
        <w:rPr>
          <w:rFonts w:ascii="Garamond" w:hAnsi="Garamond" w:cstheme="majorBidi"/>
          <w:color w:val="000000" w:themeColor="text1"/>
          <w:sz w:val="24"/>
          <w:szCs w:val="24"/>
        </w:rPr>
      </w:pPr>
    </w:p>
    <w:p w:rsidR="003B5EBC" w:rsidRDefault="003B5EBC">
      <w:pPr>
        <w:spacing w:after="0"/>
        <w:jc w:val="both"/>
        <w:rPr>
          <w:rFonts w:ascii="Garamond" w:hAnsi="Garamond" w:cstheme="majorBidi"/>
          <w:color w:val="000000" w:themeColor="text1"/>
          <w:sz w:val="24"/>
          <w:szCs w:val="24"/>
          <w:lang w:val="fr-FR"/>
        </w:rPr>
      </w:pPr>
    </w:p>
    <w:p w:rsidR="00C00FCA" w:rsidRDefault="00C00FCA">
      <w:pPr>
        <w:spacing w:after="0"/>
        <w:jc w:val="both"/>
        <w:rPr>
          <w:rFonts w:ascii="Garamond" w:hAnsi="Garamond" w:cstheme="majorBidi"/>
          <w:color w:val="000000" w:themeColor="text1"/>
          <w:sz w:val="24"/>
          <w:szCs w:val="24"/>
          <w:lang w:val="fr-FR"/>
        </w:rPr>
      </w:pPr>
    </w:p>
    <w:p w:rsidR="00C00FCA" w:rsidRPr="00C00FCA" w:rsidRDefault="00C00FCA">
      <w:pPr>
        <w:spacing w:after="0"/>
        <w:jc w:val="both"/>
        <w:rPr>
          <w:rFonts w:ascii="Garamond" w:hAnsi="Garamond" w:cstheme="majorBidi"/>
          <w:color w:val="000000" w:themeColor="text1"/>
          <w:sz w:val="24"/>
          <w:szCs w:val="24"/>
          <w:lang w:val="fr-FR"/>
        </w:rPr>
      </w:pPr>
    </w:p>
    <w:p w:rsidR="003B5EBC" w:rsidRDefault="00A1518B">
      <w:pPr>
        <w:pStyle w:val="Paragraphedeliste"/>
        <w:numPr>
          <w:ilvl w:val="0"/>
          <w:numId w:val="7"/>
        </w:numPr>
        <w:spacing w:after="0"/>
        <w:ind w:left="284" w:hanging="284"/>
        <w:jc w:val="both"/>
        <w:rPr>
          <w:rFonts w:ascii="Garamond" w:hAnsi="Garamond" w:cstheme="majorBidi"/>
          <w:b/>
          <w:bCs/>
          <w:sz w:val="26"/>
          <w:szCs w:val="26"/>
        </w:rPr>
      </w:pPr>
      <w:r>
        <w:rPr>
          <w:rFonts w:ascii="Garamond" w:hAnsi="Garamond" w:cstheme="majorBidi"/>
          <w:b/>
          <w:bCs/>
          <w:sz w:val="26"/>
          <w:szCs w:val="26"/>
        </w:rPr>
        <w:t xml:space="preserve">Mission 2 : </w:t>
      </w:r>
      <w:r>
        <w:rPr>
          <w:rFonts w:ascii="Garamond" w:hAnsi="Garamond" w:cstheme="majorBidi"/>
          <w:b/>
          <w:bCs/>
          <w:sz w:val="26"/>
          <w:szCs w:val="26"/>
          <w:lang w:val="fr-FR"/>
        </w:rPr>
        <w:t>Cadrage et c</w:t>
      </w:r>
      <w:r>
        <w:rPr>
          <w:rFonts w:ascii="Garamond" w:hAnsi="Garamond" w:cstheme="majorBidi"/>
          <w:b/>
          <w:bCs/>
          <w:sz w:val="26"/>
          <w:szCs w:val="26"/>
        </w:rPr>
        <w:t>onception fonctionnelle, technique et réglementaire du système</w:t>
      </w:r>
    </w:p>
    <w:p w:rsidR="003B5EBC" w:rsidRDefault="003B5EBC">
      <w:pPr>
        <w:pStyle w:val="Paragraphedeliste"/>
        <w:spacing w:after="0"/>
        <w:ind w:left="284"/>
        <w:jc w:val="both"/>
        <w:rPr>
          <w:rFonts w:ascii="Garamond" w:hAnsi="Garamond" w:cstheme="majorBidi"/>
          <w:b/>
          <w:bCs/>
          <w:sz w:val="26"/>
          <w:szCs w:val="26"/>
        </w:rPr>
      </w:pPr>
    </w:p>
    <w:p w:rsidR="003B5EBC" w:rsidRDefault="00A1518B">
      <w:p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lastRenderedPageBreak/>
        <w:t xml:space="preserve">Cette mission vise à </w:t>
      </w:r>
      <w:r>
        <w:rPr>
          <w:rFonts w:ascii="Garamond" w:hAnsi="Garamond" w:cstheme="majorBidi"/>
          <w:color w:val="000000" w:themeColor="text1"/>
          <w:sz w:val="24"/>
          <w:szCs w:val="24"/>
          <w:lang w:val="fr-FR"/>
        </w:rPr>
        <w:t xml:space="preserve">cadrer et </w:t>
      </w:r>
      <w:r>
        <w:rPr>
          <w:rFonts w:ascii="Garamond" w:hAnsi="Garamond" w:cstheme="majorBidi"/>
          <w:color w:val="000000" w:themeColor="text1"/>
          <w:sz w:val="24"/>
          <w:szCs w:val="24"/>
        </w:rPr>
        <w:t>traduire les analyses réalisées en un modèle opérationnel du futur système électronique de permis APA, couvrant l’architecture fonctionnelle, technique, institutionnelle, interopérable et réglementaire</w:t>
      </w:r>
      <w:r>
        <w:rPr>
          <w:rFonts w:ascii="Garamond" w:hAnsi="Garamond" w:cstheme="majorBidi"/>
          <w:color w:val="000000" w:themeColor="text1"/>
          <w:sz w:val="24"/>
          <w:szCs w:val="24"/>
          <w:lang w:val="fr-FR"/>
        </w:rPr>
        <w:t xml:space="preserve"> </w:t>
      </w:r>
      <w:r w:rsidRPr="00160BAC">
        <w:rPr>
          <w:rFonts w:ascii="Garamond" w:hAnsi="Garamond" w:cstheme="majorBidi"/>
          <w:color w:val="000000" w:themeColor="text1"/>
          <w:sz w:val="24"/>
          <w:szCs w:val="24"/>
        </w:rPr>
        <w:t>et ce avant d’élaborer les spécifications fonctionnelles du système</w:t>
      </w:r>
      <w:r>
        <w:rPr>
          <w:rFonts w:ascii="Garamond" w:hAnsi="Garamond" w:cstheme="majorBidi"/>
          <w:color w:val="000000" w:themeColor="text1"/>
          <w:sz w:val="24"/>
          <w:szCs w:val="24"/>
        </w:rPr>
        <w:t>.</w:t>
      </w:r>
    </w:p>
    <w:p w:rsidR="003B5EBC" w:rsidRDefault="003B5EBC">
      <w:pPr>
        <w:spacing w:after="0"/>
        <w:jc w:val="both"/>
        <w:rPr>
          <w:rFonts w:ascii="Garamond" w:hAnsi="Garamond" w:cstheme="majorBidi"/>
          <w:b/>
          <w:bCs/>
          <w:color w:val="000000" w:themeColor="text1"/>
          <w:sz w:val="24"/>
          <w:szCs w:val="24"/>
          <w:u w:val="single"/>
        </w:rPr>
      </w:pPr>
    </w:p>
    <w:p w:rsidR="003B5EBC" w:rsidRDefault="00A1518B">
      <w:pPr>
        <w:spacing w:after="0"/>
        <w:jc w:val="both"/>
        <w:rPr>
          <w:rFonts w:ascii="Garamond" w:hAnsi="Garamond" w:cstheme="majorBidi"/>
          <w:b/>
          <w:bCs/>
          <w:color w:val="1F4E79" w:themeColor="accent1" w:themeShade="80"/>
          <w:sz w:val="24"/>
          <w:szCs w:val="24"/>
        </w:rPr>
      </w:pPr>
      <w:r>
        <w:rPr>
          <w:rFonts w:ascii="Garamond" w:hAnsi="Garamond" w:cstheme="majorBidi"/>
          <w:b/>
          <w:bCs/>
          <w:color w:val="1F4E79" w:themeColor="accent1" w:themeShade="80"/>
          <w:sz w:val="24"/>
          <w:szCs w:val="24"/>
        </w:rPr>
        <w:t>Activité 2.1 : Définition des exigences fonctionnelles, techniques et organisationnelles</w:t>
      </w:r>
    </w:p>
    <w:p w:rsidR="003B5EBC" w:rsidRDefault="003B5EBC">
      <w:pPr>
        <w:spacing w:after="0"/>
        <w:jc w:val="both"/>
        <w:rPr>
          <w:rFonts w:ascii="Garamond" w:hAnsi="Garamond" w:cstheme="majorBidi"/>
          <w:color w:val="000000" w:themeColor="text1"/>
          <w:sz w:val="24"/>
          <w:szCs w:val="24"/>
        </w:rPr>
      </w:pPr>
    </w:p>
    <w:p w:rsidR="003B5EBC" w:rsidRDefault="00A1518B">
      <w:p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Le prestataire devra définir les exigences du futur système électronique de permis APA en tenant compte des besoins des utilisateurs, des autorités compétentes et de l’environnement informatique national.</w:t>
      </w:r>
    </w:p>
    <w:p w:rsidR="003B5EBC" w:rsidRDefault="003B5EBC">
      <w:pPr>
        <w:spacing w:after="0"/>
        <w:jc w:val="both"/>
        <w:rPr>
          <w:rFonts w:ascii="Garamond" w:hAnsi="Garamond" w:cstheme="majorBidi"/>
          <w:color w:val="000000" w:themeColor="text1"/>
          <w:sz w:val="24"/>
          <w:szCs w:val="24"/>
        </w:rPr>
      </w:pPr>
    </w:p>
    <w:p w:rsidR="003B5EBC" w:rsidRDefault="00A1518B">
      <w:pPr>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Cette activité comprendra notamment :</w:t>
      </w:r>
    </w:p>
    <w:p w:rsidR="003B5EBC" w:rsidRDefault="00A1518B">
      <w:pPr>
        <w:numPr>
          <w:ilvl w:val="0"/>
          <w:numId w:val="16"/>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L’identification des profils utilisateurs : bioprospecteurs, point focal APA, secrétariat, autorités compétentes, administrateurs, décideurs ; </w:t>
      </w:r>
    </w:p>
    <w:p w:rsidR="003B5EBC" w:rsidRDefault="00A1518B">
      <w:pPr>
        <w:numPr>
          <w:ilvl w:val="0"/>
          <w:numId w:val="16"/>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 définition des besoins fonctionnels pour chaque profil ; </w:t>
      </w:r>
    </w:p>
    <w:p w:rsidR="003B5EBC" w:rsidRDefault="00A1518B">
      <w:pPr>
        <w:numPr>
          <w:ilvl w:val="0"/>
          <w:numId w:val="16"/>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 définition des formulaires électroniques standardisés ; </w:t>
      </w:r>
    </w:p>
    <w:p w:rsidR="003B5EBC" w:rsidRDefault="00A1518B">
      <w:pPr>
        <w:numPr>
          <w:ilvl w:val="0"/>
          <w:numId w:val="16"/>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 définition des modules de gestion des demandes : dépôt, réception, vérification, instruction, validation, demande de complément, approbation, rejet, notification, archivage ; </w:t>
      </w:r>
    </w:p>
    <w:p w:rsidR="003B5EBC" w:rsidRDefault="00A1518B">
      <w:pPr>
        <w:numPr>
          <w:ilvl w:val="0"/>
          <w:numId w:val="16"/>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 définition des tableaux de bord et indicateurs de suivi ; </w:t>
      </w:r>
    </w:p>
    <w:p w:rsidR="003B5EBC" w:rsidRDefault="00A1518B">
      <w:pPr>
        <w:numPr>
          <w:ilvl w:val="0"/>
          <w:numId w:val="16"/>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La définition des besoins de reporting ; </w:t>
      </w:r>
    </w:p>
    <w:p w:rsidR="003B5EBC" w:rsidRDefault="00A1518B">
      <w:pPr>
        <w:numPr>
          <w:ilvl w:val="0"/>
          <w:numId w:val="16"/>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 xml:space="preserve">L’identification des exigences en matière de sécurité, confidentialité, traçabilité, authentification, sauvegarde et protection des données ; </w:t>
      </w:r>
    </w:p>
    <w:p w:rsidR="003B5EBC" w:rsidRDefault="00A1518B">
      <w:pPr>
        <w:numPr>
          <w:ilvl w:val="0"/>
          <w:numId w:val="16"/>
        </w:numPr>
        <w:tabs>
          <w:tab w:val="left" w:pos="284"/>
        </w:tabs>
        <w:spacing w:after="0"/>
        <w:jc w:val="both"/>
        <w:rPr>
          <w:rFonts w:ascii="Garamond" w:hAnsi="Garamond" w:cstheme="majorBidi"/>
          <w:color w:val="000000" w:themeColor="text1"/>
          <w:sz w:val="24"/>
          <w:szCs w:val="24"/>
        </w:rPr>
      </w:pPr>
      <w:r>
        <w:rPr>
          <w:rFonts w:ascii="Garamond" w:hAnsi="Garamond" w:cstheme="majorBidi"/>
          <w:color w:val="000000" w:themeColor="text1"/>
          <w:sz w:val="24"/>
          <w:szCs w:val="24"/>
        </w:rPr>
        <w:t>L’identification des besoins en hébergement, maintenance, assistance technique et administration.</w:t>
      </w:r>
    </w:p>
    <w:p w:rsidR="003B5EBC" w:rsidRDefault="003B5EBC">
      <w:pPr>
        <w:spacing w:after="0"/>
        <w:jc w:val="both"/>
        <w:rPr>
          <w:rFonts w:ascii="Garamond" w:hAnsi="Garamond" w:cstheme="majorBidi"/>
          <w:b/>
          <w:bCs/>
          <w:color w:val="0070C0"/>
          <w:sz w:val="24"/>
          <w:szCs w:val="24"/>
        </w:rPr>
      </w:pPr>
    </w:p>
    <w:p w:rsidR="003B5EBC" w:rsidRDefault="003B5EBC">
      <w:pPr>
        <w:spacing w:after="0"/>
        <w:jc w:val="both"/>
        <w:rPr>
          <w:rFonts w:ascii="Garamond" w:hAnsi="Garamond" w:cstheme="majorBidi"/>
          <w:b/>
          <w:bCs/>
          <w:color w:val="0070C0"/>
          <w:sz w:val="24"/>
          <w:szCs w:val="24"/>
        </w:rPr>
      </w:pPr>
    </w:p>
    <w:p w:rsidR="003B5EBC" w:rsidRDefault="00A1518B" w:rsidP="00160BAC">
      <w:pPr>
        <w:spacing w:before="240" w:after="240"/>
        <w:rPr>
          <w:rFonts w:ascii="Garamond" w:hAnsi="Garamond"/>
          <w:color w:val="1F3864" w:themeColor="accent5" w:themeShade="80"/>
          <w:sz w:val="24"/>
          <w:szCs w:val="24"/>
        </w:rPr>
      </w:pPr>
      <w:r>
        <w:rPr>
          <w:rFonts w:ascii="Garamond" w:hAnsi="Garamond"/>
          <w:color w:val="1F3864" w:themeColor="accent5" w:themeShade="80"/>
          <w:sz w:val="24"/>
          <w:szCs w:val="24"/>
        </w:rPr>
        <w:t>Livrable 2.1 — L2.1 : Cahier des charges fonctionnel et technique</w:t>
      </w:r>
    </w:p>
    <w:p w:rsidR="003B5EBC" w:rsidRDefault="00A1518B" w:rsidP="00160BAC">
      <w:pPr>
        <w:spacing w:before="240" w:after="240"/>
        <w:jc w:val="both"/>
        <w:rPr>
          <w:rFonts w:ascii="Garamond" w:hAnsi="Garamond" w:cstheme="majorBidi"/>
          <w:sz w:val="24"/>
          <w:szCs w:val="24"/>
        </w:rPr>
      </w:pPr>
      <w:r>
        <w:rPr>
          <w:rFonts w:ascii="Garamond" w:hAnsi="Garamond" w:cstheme="majorBidi"/>
          <w:sz w:val="24"/>
          <w:szCs w:val="24"/>
        </w:rPr>
        <w:t>Le livrable devra inclure :</w:t>
      </w:r>
    </w:p>
    <w:p w:rsidR="003B5EBC" w:rsidRDefault="00A1518B">
      <w:pPr>
        <w:numPr>
          <w:ilvl w:val="0"/>
          <w:numId w:val="17"/>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besoins fonctionnels détaillés ; </w:t>
      </w:r>
    </w:p>
    <w:p w:rsidR="003B5EBC" w:rsidRDefault="00A1518B">
      <w:pPr>
        <w:numPr>
          <w:ilvl w:val="0"/>
          <w:numId w:val="17"/>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besoins techniques ; </w:t>
      </w:r>
    </w:p>
    <w:p w:rsidR="003B5EBC" w:rsidRDefault="00A1518B">
      <w:pPr>
        <w:numPr>
          <w:ilvl w:val="0"/>
          <w:numId w:val="17"/>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profils utilisateurs ; </w:t>
      </w:r>
    </w:p>
    <w:p w:rsidR="003B5EBC" w:rsidRDefault="00A1518B">
      <w:pPr>
        <w:numPr>
          <w:ilvl w:val="0"/>
          <w:numId w:val="17"/>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modules du système ; </w:t>
      </w:r>
    </w:p>
    <w:p w:rsidR="003B5EBC" w:rsidRDefault="00A1518B">
      <w:pPr>
        <w:numPr>
          <w:ilvl w:val="0"/>
          <w:numId w:val="17"/>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exigences de sécurité et de confidentialité ; </w:t>
      </w:r>
    </w:p>
    <w:p w:rsidR="003B5EBC" w:rsidRDefault="00A1518B">
      <w:pPr>
        <w:numPr>
          <w:ilvl w:val="0"/>
          <w:numId w:val="17"/>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besoins en hébergement, maintenance et administration ; </w:t>
      </w:r>
    </w:p>
    <w:p w:rsidR="003B5EBC" w:rsidRDefault="00A1518B">
      <w:pPr>
        <w:numPr>
          <w:ilvl w:val="0"/>
          <w:numId w:val="17"/>
        </w:numPr>
        <w:tabs>
          <w:tab w:val="left" w:pos="284"/>
        </w:tabs>
        <w:spacing w:after="0"/>
        <w:jc w:val="both"/>
        <w:rPr>
          <w:rFonts w:ascii="Garamond" w:hAnsi="Garamond" w:cstheme="majorBidi"/>
          <w:sz w:val="24"/>
          <w:szCs w:val="24"/>
        </w:rPr>
      </w:pPr>
      <w:r>
        <w:rPr>
          <w:rFonts w:ascii="Garamond" w:hAnsi="Garamond" w:cstheme="majorBidi"/>
          <w:sz w:val="24"/>
          <w:szCs w:val="24"/>
        </w:rPr>
        <w:t>Les besoins en reporting, tableaux de bord et suivi de conformité.</w:t>
      </w:r>
    </w:p>
    <w:p w:rsidR="003B5EBC" w:rsidRDefault="00A1518B">
      <w:pPr>
        <w:spacing w:before="100" w:beforeAutospacing="1" w:after="0" w:line="240" w:lineRule="auto"/>
        <w:rPr>
          <w:rFonts w:ascii="Garamond" w:eastAsia="Times New Roman" w:hAnsi="Garamond" w:cs="Times New Roman"/>
          <w:i/>
          <w:iCs/>
          <w:sz w:val="24"/>
          <w:szCs w:val="24"/>
          <w:lang w:eastAsia="zh-CN"/>
        </w:rPr>
      </w:pPr>
      <w:r>
        <w:rPr>
          <w:rFonts w:ascii="Garamond" w:eastAsia="Times New Roman" w:hAnsi="Garamond" w:cs="Times New Roman"/>
          <w:i/>
          <w:iCs/>
          <w:sz w:val="24"/>
          <w:szCs w:val="24"/>
          <w:lang w:eastAsia="zh-CN"/>
        </w:rPr>
        <w:t>Délai indicatif : 105 jours (3,5 mois) après la signature du contrat.</w:t>
      </w:r>
    </w:p>
    <w:p w:rsidR="003B5EBC" w:rsidRDefault="003B5EBC">
      <w:pPr>
        <w:spacing w:after="0" w:line="240" w:lineRule="auto"/>
        <w:rPr>
          <w:rFonts w:ascii="Garamond" w:eastAsia="Times New Roman" w:hAnsi="Garamond" w:cs="Times New Roman"/>
          <w:i/>
          <w:iCs/>
          <w:lang w:eastAsia="zh-CN"/>
        </w:rPr>
      </w:pPr>
    </w:p>
    <w:p w:rsidR="003B5EBC" w:rsidRDefault="00A1518B">
      <w:pPr>
        <w:spacing w:before="100" w:beforeAutospacing="1" w:after="0" w:line="240" w:lineRule="auto"/>
        <w:rPr>
          <w:rFonts w:ascii="Garamond" w:eastAsia="Times New Roman" w:hAnsi="Garamond" w:cs="Times New Roman"/>
          <w:b/>
          <w:bCs/>
          <w:color w:val="1F4E79" w:themeColor="accent1" w:themeShade="80"/>
          <w:sz w:val="24"/>
          <w:szCs w:val="24"/>
          <w:lang w:eastAsia="zh-CN"/>
        </w:rPr>
      </w:pPr>
      <w:r>
        <w:rPr>
          <w:rFonts w:ascii="Garamond" w:eastAsia="Times New Roman" w:hAnsi="Garamond" w:cs="Times New Roman"/>
          <w:b/>
          <w:bCs/>
          <w:color w:val="1F4E79" w:themeColor="accent1" w:themeShade="80"/>
          <w:sz w:val="24"/>
          <w:szCs w:val="24"/>
          <w:lang w:eastAsia="zh-CN"/>
        </w:rPr>
        <w:t>Activité 2.2 : Conception de l’architecture fonctionnelle et technique du système</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lastRenderedPageBreak/>
        <w:t>Le prestataire devra concevoir l’architecture fonctionnelle et technique du système électronique normalisé de demande de permis APA. Cette activité portera principalement sur la structuration interne du système, ses modules, ses parcours utilisateurs, ses workflows et ses fonctionnalités, en veillant à ce que la conception proposée soit compatible avec une mise en ligne sous forme de portail ou guichet unique électronique.</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Cette activité comprendra notamment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 xml:space="preserve">La conception du modèle de guichet unique électronique ;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 xml:space="preserve">La définition des parcours utilisateurs pour les bioprospecteurs, les autorités compétentes, le point focal APA, le secrétariat et les administrateurs ;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 xml:space="preserve">La définition des workflows standardisés de traitement des demandes ;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 xml:space="preserve">La définition des étapes de soumission, réception, vérification, instruction, consultation, validation, délivrance, notification, suivi et archivage ;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 xml:space="preserve">La définition des règles d’affectation des demandes aux institutions concernées selon la nature de la ressource, l’écosystème, la zone géographique ou l’usage envisagé ;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 xml:space="preserve">La conception des formulaires électroniques standardisés ;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 xml:space="preserve">La conception des interfaces utilisateurs, y compris le portail ou site web d’accès au système ;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 xml:space="preserve">La proposition de maquettes fonctionnelles ;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 xml:space="preserve">La définition des profils d’accès, droits utilisateurs et niveaux d’autorisation ;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 xml:space="preserve">La définition des mécanismes de génération automatique de notifications, accusés de réception, statuts et rapports ;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 xml:space="preserve">La conception des tableaux de bord de suivi des demandes, délais, statuts, décisions et indicateurs de conformité ; </w:t>
      </w:r>
    </w:p>
    <w:p w:rsidR="003B5EBC" w:rsidRDefault="00A1518B">
      <w:pPr>
        <w:numPr>
          <w:ilvl w:val="1"/>
          <w:numId w:val="18"/>
        </w:numPr>
        <w:spacing w:after="0"/>
        <w:jc w:val="both"/>
        <w:rPr>
          <w:rFonts w:ascii="Garamond" w:hAnsi="Garamond" w:cstheme="majorBidi"/>
          <w:sz w:val="24"/>
          <w:szCs w:val="24"/>
        </w:rPr>
      </w:pPr>
      <w:r>
        <w:rPr>
          <w:rFonts w:ascii="Garamond" w:hAnsi="Garamond" w:cstheme="majorBidi"/>
          <w:sz w:val="24"/>
          <w:szCs w:val="24"/>
        </w:rPr>
        <w:t>La proposition d’un modèle d’administration fonctionnelle de la plateforme.</w:t>
      </w:r>
    </w:p>
    <w:p w:rsidR="003B5EBC" w:rsidRDefault="003B5EBC">
      <w:pPr>
        <w:spacing w:after="0"/>
        <w:jc w:val="both"/>
        <w:rPr>
          <w:rFonts w:ascii="Garamond" w:hAnsi="Garamond" w:cstheme="majorBidi"/>
          <w:sz w:val="24"/>
          <w:szCs w:val="24"/>
        </w:rPr>
      </w:pPr>
    </w:p>
    <w:p w:rsidR="003B5EBC" w:rsidRDefault="00A1518B" w:rsidP="00160BAC">
      <w:pPr>
        <w:spacing w:before="240" w:after="240" w:line="240" w:lineRule="auto"/>
        <w:rPr>
          <w:rFonts w:ascii="Garamond" w:eastAsia="Times New Roman" w:hAnsi="Garamond" w:cs="Times New Roman"/>
          <w:color w:val="1F3864" w:themeColor="accent5" w:themeShade="80"/>
          <w:sz w:val="24"/>
          <w:szCs w:val="24"/>
          <w:lang w:eastAsia="zh-CN"/>
        </w:rPr>
      </w:pPr>
      <w:r>
        <w:rPr>
          <w:rFonts w:ascii="Garamond" w:eastAsia="Times New Roman" w:hAnsi="Garamond" w:cs="Times New Roman"/>
          <w:color w:val="1F3864" w:themeColor="accent5" w:themeShade="80"/>
          <w:sz w:val="24"/>
          <w:szCs w:val="24"/>
          <w:lang w:eastAsia="zh-CN"/>
        </w:rPr>
        <w:t>Livrable 2.2 — L2.2 : Architecture fonctionnelle et technique détaillée du système</w:t>
      </w:r>
    </w:p>
    <w:p w:rsidR="003B5EBC" w:rsidRDefault="00A1518B" w:rsidP="00160BAC">
      <w:pPr>
        <w:spacing w:before="240" w:after="240"/>
        <w:jc w:val="both"/>
        <w:rPr>
          <w:rFonts w:ascii="Garamond" w:hAnsi="Garamond" w:cstheme="majorBidi"/>
          <w:sz w:val="24"/>
          <w:szCs w:val="24"/>
        </w:rPr>
      </w:pPr>
      <w:r>
        <w:rPr>
          <w:rFonts w:ascii="Garamond" w:hAnsi="Garamond" w:cstheme="majorBidi"/>
          <w:sz w:val="24"/>
          <w:szCs w:val="24"/>
        </w:rPr>
        <w:t>Le livrable devra inclure :</w:t>
      </w:r>
    </w:p>
    <w:p w:rsidR="003B5EBC" w:rsidRDefault="00A1518B">
      <w:pPr>
        <w:numPr>
          <w:ilvl w:val="0"/>
          <w:numId w:val="19"/>
        </w:numPr>
        <w:spacing w:after="0"/>
        <w:jc w:val="both"/>
        <w:rPr>
          <w:rFonts w:ascii="Garamond" w:hAnsi="Garamond" w:cstheme="majorBidi"/>
          <w:sz w:val="24"/>
          <w:szCs w:val="24"/>
        </w:rPr>
      </w:pPr>
      <w:r>
        <w:rPr>
          <w:rFonts w:ascii="Garamond" w:hAnsi="Garamond" w:cstheme="majorBidi"/>
          <w:sz w:val="24"/>
          <w:szCs w:val="24"/>
        </w:rPr>
        <w:t>L’architecture globale du système ;</w:t>
      </w:r>
    </w:p>
    <w:p w:rsidR="003B5EBC" w:rsidRDefault="00A1518B">
      <w:pPr>
        <w:numPr>
          <w:ilvl w:val="0"/>
          <w:numId w:val="19"/>
        </w:numPr>
        <w:spacing w:after="0"/>
        <w:jc w:val="both"/>
        <w:rPr>
          <w:rFonts w:ascii="Garamond" w:hAnsi="Garamond" w:cstheme="majorBidi"/>
          <w:sz w:val="24"/>
          <w:szCs w:val="24"/>
        </w:rPr>
      </w:pPr>
      <w:r>
        <w:rPr>
          <w:rFonts w:ascii="Garamond" w:hAnsi="Garamond" w:cstheme="majorBidi"/>
          <w:sz w:val="24"/>
          <w:szCs w:val="24"/>
        </w:rPr>
        <w:t>Le modèle de guichet unique électronique ;</w:t>
      </w:r>
    </w:p>
    <w:p w:rsidR="003B5EBC" w:rsidRDefault="00A1518B">
      <w:pPr>
        <w:numPr>
          <w:ilvl w:val="0"/>
          <w:numId w:val="19"/>
        </w:numPr>
        <w:spacing w:after="0"/>
        <w:jc w:val="both"/>
        <w:rPr>
          <w:rFonts w:ascii="Garamond" w:hAnsi="Garamond" w:cstheme="majorBidi"/>
          <w:sz w:val="24"/>
          <w:szCs w:val="24"/>
        </w:rPr>
      </w:pPr>
      <w:r>
        <w:rPr>
          <w:rFonts w:ascii="Garamond" w:hAnsi="Garamond" w:cstheme="majorBidi"/>
          <w:sz w:val="24"/>
          <w:szCs w:val="24"/>
        </w:rPr>
        <w:t>Les workflows standardisés ;</w:t>
      </w:r>
    </w:p>
    <w:p w:rsidR="003B5EBC" w:rsidRDefault="00A1518B">
      <w:pPr>
        <w:numPr>
          <w:ilvl w:val="0"/>
          <w:numId w:val="19"/>
        </w:numPr>
        <w:spacing w:after="0"/>
        <w:jc w:val="both"/>
        <w:rPr>
          <w:rFonts w:ascii="Garamond" w:hAnsi="Garamond" w:cstheme="majorBidi"/>
          <w:sz w:val="24"/>
          <w:szCs w:val="24"/>
        </w:rPr>
      </w:pPr>
      <w:r>
        <w:rPr>
          <w:rFonts w:ascii="Garamond" w:hAnsi="Garamond" w:cstheme="majorBidi"/>
          <w:sz w:val="24"/>
          <w:szCs w:val="24"/>
        </w:rPr>
        <w:t>Les parcours utilisateurs ;</w:t>
      </w:r>
    </w:p>
    <w:p w:rsidR="003B5EBC" w:rsidRDefault="00A1518B">
      <w:pPr>
        <w:numPr>
          <w:ilvl w:val="0"/>
          <w:numId w:val="19"/>
        </w:numPr>
        <w:spacing w:after="0"/>
        <w:jc w:val="both"/>
        <w:rPr>
          <w:rFonts w:ascii="Garamond" w:hAnsi="Garamond" w:cstheme="majorBidi"/>
          <w:sz w:val="24"/>
          <w:szCs w:val="24"/>
        </w:rPr>
      </w:pPr>
      <w:r>
        <w:rPr>
          <w:rFonts w:ascii="Garamond" w:hAnsi="Garamond" w:cstheme="majorBidi"/>
          <w:sz w:val="24"/>
          <w:szCs w:val="24"/>
        </w:rPr>
        <w:t>Les formulaires électroniques ;</w:t>
      </w:r>
    </w:p>
    <w:p w:rsidR="003B5EBC" w:rsidRDefault="00A1518B">
      <w:pPr>
        <w:numPr>
          <w:ilvl w:val="0"/>
          <w:numId w:val="19"/>
        </w:numPr>
        <w:spacing w:after="0"/>
        <w:jc w:val="both"/>
        <w:rPr>
          <w:rFonts w:ascii="Garamond" w:hAnsi="Garamond" w:cstheme="majorBidi"/>
          <w:sz w:val="24"/>
          <w:szCs w:val="24"/>
        </w:rPr>
      </w:pPr>
      <w:r>
        <w:rPr>
          <w:rFonts w:ascii="Garamond" w:hAnsi="Garamond" w:cstheme="majorBidi"/>
          <w:sz w:val="24"/>
          <w:szCs w:val="24"/>
        </w:rPr>
        <w:t>Les profils d’accès et droits utilisateurs ;</w:t>
      </w:r>
    </w:p>
    <w:p w:rsidR="003B5EBC" w:rsidRDefault="00A1518B">
      <w:pPr>
        <w:numPr>
          <w:ilvl w:val="0"/>
          <w:numId w:val="19"/>
        </w:numPr>
        <w:spacing w:after="0"/>
        <w:jc w:val="both"/>
        <w:rPr>
          <w:rFonts w:ascii="Garamond" w:hAnsi="Garamond" w:cstheme="majorBidi"/>
          <w:sz w:val="24"/>
          <w:szCs w:val="24"/>
        </w:rPr>
      </w:pPr>
      <w:r>
        <w:rPr>
          <w:rFonts w:ascii="Garamond" w:hAnsi="Garamond" w:cstheme="majorBidi"/>
          <w:sz w:val="24"/>
          <w:szCs w:val="24"/>
        </w:rPr>
        <w:t>Les maquettes fonctionnelles</w:t>
      </w:r>
      <w:r>
        <w:rPr>
          <w:rStyle w:val="Appelnotedebasdep"/>
          <w:rFonts w:ascii="Garamond" w:hAnsi="Garamond" w:cstheme="majorBidi"/>
          <w:sz w:val="24"/>
          <w:szCs w:val="24"/>
        </w:rPr>
        <w:footnoteReference w:id="2"/>
      </w:r>
      <w:r>
        <w:rPr>
          <w:rFonts w:ascii="Garamond" w:hAnsi="Garamond" w:cstheme="majorBidi"/>
          <w:sz w:val="24"/>
          <w:szCs w:val="24"/>
        </w:rPr>
        <w:t xml:space="preserve"> ;</w:t>
      </w:r>
    </w:p>
    <w:p w:rsidR="003B5EBC" w:rsidRDefault="00A1518B">
      <w:pPr>
        <w:numPr>
          <w:ilvl w:val="0"/>
          <w:numId w:val="19"/>
        </w:numPr>
        <w:spacing w:after="0"/>
        <w:jc w:val="both"/>
        <w:rPr>
          <w:rFonts w:ascii="Garamond" w:hAnsi="Garamond" w:cstheme="majorBidi"/>
          <w:sz w:val="24"/>
          <w:szCs w:val="24"/>
        </w:rPr>
      </w:pPr>
      <w:r>
        <w:rPr>
          <w:rFonts w:ascii="Garamond" w:hAnsi="Garamond" w:cstheme="majorBidi"/>
          <w:sz w:val="24"/>
          <w:szCs w:val="24"/>
        </w:rPr>
        <w:t>Le portail ou site web d’accès au système ;</w:t>
      </w:r>
    </w:p>
    <w:p w:rsidR="003B5EBC" w:rsidRDefault="00A1518B">
      <w:pPr>
        <w:numPr>
          <w:ilvl w:val="0"/>
          <w:numId w:val="19"/>
        </w:numPr>
        <w:spacing w:after="0"/>
        <w:jc w:val="both"/>
        <w:rPr>
          <w:rFonts w:ascii="Garamond" w:hAnsi="Garamond" w:cstheme="majorBidi"/>
          <w:sz w:val="24"/>
          <w:szCs w:val="24"/>
        </w:rPr>
      </w:pPr>
      <w:r>
        <w:rPr>
          <w:rFonts w:ascii="Garamond" w:hAnsi="Garamond" w:cstheme="majorBidi"/>
          <w:sz w:val="24"/>
          <w:szCs w:val="24"/>
        </w:rPr>
        <w:t>Les tableaux de bord et mécanismes de reporting ;</w:t>
      </w:r>
    </w:p>
    <w:p w:rsidR="003B5EBC" w:rsidRDefault="00A1518B">
      <w:pPr>
        <w:numPr>
          <w:ilvl w:val="0"/>
          <w:numId w:val="19"/>
        </w:numPr>
        <w:spacing w:after="0"/>
        <w:jc w:val="both"/>
        <w:rPr>
          <w:rFonts w:ascii="Garamond" w:hAnsi="Garamond" w:cstheme="majorBidi"/>
          <w:sz w:val="24"/>
          <w:szCs w:val="24"/>
        </w:rPr>
      </w:pPr>
      <w:r>
        <w:rPr>
          <w:rFonts w:ascii="Garamond" w:hAnsi="Garamond" w:cstheme="majorBidi"/>
          <w:sz w:val="24"/>
          <w:szCs w:val="24"/>
        </w:rPr>
        <w:lastRenderedPageBreak/>
        <w:t>Le modèle d’administration fonctionnelle de la plateforme.</w:t>
      </w:r>
    </w:p>
    <w:p w:rsidR="003B5EBC" w:rsidRDefault="00A1518B">
      <w:pPr>
        <w:spacing w:before="100" w:beforeAutospacing="1" w:after="0" w:line="240" w:lineRule="auto"/>
        <w:rPr>
          <w:rFonts w:ascii="Garamond" w:eastAsia="Times New Roman" w:hAnsi="Garamond" w:cs="Times New Roman"/>
          <w:i/>
          <w:iCs/>
          <w:color w:val="0070C0"/>
          <w:sz w:val="24"/>
          <w:szCs w:val="24"/>
          <w:lang w:eastAsia="zh-CN"/>
        </w:rPr>
      </w:pPr>
      <w:r>
        <w:rPr>
          <w:rFonts w:ascii="Garamond" w:eastAsia="Times New Roman" w:hAnsi="Garamond" w:cs="Times New Roman"/>
          <w:i/>
          <w:iCs/>
          <w:color w:val="000000" w:themeColor="text1"/>
          <w:sz w:val="24"/>
          <w:szCs w:val="24"/>
          <w:lang w:eastAsia="zh-CN"/>
        </w:rPr>
        <w:t>Délai indicatif : 120 jours (4 mois) après la signature du contrat.</w:t>
      </w:r>
    </w:p>
    <w:p w:rsidR="003B5EBC" w:rsidRDefault="003B5EBC">
      <w:pPr>
        <w:spacing w:after="0"/>
        <w:jc w:val="both"/>
        <w:rPr>
          <w:rFonts w:ascii="Garamond" w:hAnsi="Garamond" w:cstheme="majorBidi"/>
          <w:sz w:val="24"/>
          <w:szCs w:val="24"/>
        </w:rPr>
      </w:pPr>
    </w:p>
    <w:p w:rsidR="003B5EBC" w:rsidRDefault="00A1518B" w:rsidP="00160BAC">
      <w:pPr>
        <w:spacing w:before="100" w:beforeAutospacing="1" w:after="0" w:line="240" w:lineRule="auto"/>
        <w:jc w:val="both"/>
        <w:rPr>
          <w:rFonts w:ascii="Garamond" w:eastAsia="Times New Roman" w:hAnsi="Garamond" w:cs="Times New Roman"/>
          <w:b/>
          <w:bCs/>
          <w:color w:val="1F4E79" w:themeColor="accent1" w:themeShade="80"/>
          <w:sz w:val="24"/>
          <w:szCs w:val="24"/>
          <w:lang w:eastAsia="zh-CN"/>
        </w:rPr>
      </w:pPr>
      <w:r>
        <w:rPr>
          <w:rFonts w:ascii="Garamond" w:eastAsia="Times New Roman" w:hAnsi="Garamond" w:cs="Times New Roman"/>
          <w:b/>
          <w:bCs/>
          <w:color w:val="1F4E79" w:themeColor="accent1" w:themeShade="80"/>
          <w:sz w:val="24"/>
          <w:szCs w:val="24"/>
          <w:lang w:eastAsia="zh-CN"/>
        </w:rPr>
        <w:t>Activité 2.3 : Analyse de l’interopérabilité, de l’hébergement et de la compatibilité avec l’environnement informatique existant</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Le prestataire devra analyser les conditions d’intégration du système électronique APA avec les plateformes, bases de données et infrastructures existantes. Cette activité portera principalement sur l’environnement externe du système, notamment son articulation avec le CHM Biodiversité, son hébergement auprès du ministère chargé de l’environnement, sa compatibilité avec l’environnement informatique du ministère et son alignement avec les orientations nationales en matière de transformation numérique.</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Cette activité comprendra notamment :</w:t>
      </w:r>
    </w:p>
    <w:p w:rsidR="003B5EBC" w:rsidRDefault="00A1518B">
      <w:pPr>
        <w:numPr>
          <w:ilvl w:val="0"/>
          <w:numId w:val="20"/>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L’analyse des besoins d’articulation avec le CHM Biodiversité du Maroc, notamment sa composante APA/Protocole de Nagoya </w:t>
      </w:r>
      <w:hyperlink r:id="rId19" w:history="1">
        <w:r>
          <w:rPr>
            <w:rStyle w:val="Lienhypertexte"/>
            <w:rFonts w:ascii="Garamond" w:hAnsi="Garamond" w:cstheme="majorBidi"/>
            <w:sz w:val="24"/>
            <w:szCs w:val="24"/>
            <w:lang w:val="fr-FR"/>
          </w:rPr>
          <w:t>https://ma.chm-cbd.net/protocole-nagoya</w:t>
        </w:r>
      </w:hyperlink>
      <w:r>
        <w:rPr>
          <w:rFonts w:ascii="Garamond" w:hAnsi="Garamond" w:cstheme="majorBidi"/>
          <w:sz w:val="24"/>
          <w:szCs w:val="24"/>
        </w:rPr>
        <w:t xml:space="preserve"> ; </w:t>
      </w:r>
    </w:p>
    <w:p w:rsidR="003B5EBC" w:rsidRDefault="00A1518B">
      <w:pPr>
        <w:numPr>
          <w:ilvl w:val="0"/>
          <w:numId w:val="20"/>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L’identification des données à échanger, publier, alimenter ou synchroniser avec les systèmes existants ; </w:t>
      </w:r>
    </w:p>
    <w:p w:rsidR="003B5EBC" w:rsidRDefault="00A1518B">
      <w:pPr>
        <w:numPr>
          <w:ilvl w:val="0"/>
          <w:numId w:val="20"/>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L’analyse des besoins d’interopérabilité avec d’autres bases de données, systèmes d’information ou plateformes gouvernementales pertinentes ; </w:t>
      </w:r>
    </w:p>
    <w:p w:rsidR="003B5EBC" w:rsidRDefault="00A1518B">
      <w:pPr>
        <w:numPr>
          <w:ilvl w:val="0"/>
          <w:numId w:val="20"/>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L’identification des protocoles, formats et normes de partage de données ; </w:t>
      </w:r>
    </w:p>
    <w:p w:rsidR="003B5EBC" w:rsidRDefault="00A1518B">
      <w:pPr>
        <w:numPr>
          <w:ilvl w:val="0"/>
          <w:numId w:val="20"/>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L’analyse des contraintes techniques, sécuritaires et institutionnelles liées à l’interopérabilité ; </w:t>
      </w:r>
    </w:p>
    <w:p w:rsidR="003B5EBC" w:rsidRDefault="00A1518B">
      <w:pPr>
        <w:numPr>
          <w:ilvl w:val="0"/>
          <w:numId w:val="20"/>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L’analyse des prérequis nécessaires pour l’hébergement de la plateforme auprès du Ministère de la Transition Énergétique et du Développement Durable / Département du Développement Durable ; </w:t>
      </w:r>
    </w:p>
    <w:p w:rsidR="003B5EBC" w:rsidRDefault="00A1518B">
      <w:pPr>
        <w:numPr>
          <w:ilvl w:val="0"/>
          <w:numId w:val="20"/>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vérification de la compatibilité du système avec les infrastructures, standards techniques, politiques de sécurité, modalités d’administration et contraintes de maintenance du ministère chargé de l’environnement ; </w:t>
      </w:r>
    </w:p>
    <w:p w:rsidR="003B5EBC" w:rsidRDefault="00A1518B">
      <w:pPr>
        <w:numPr>
          <w:ilvl w:val="0"/>
          <w:numId w:val="20"/>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prise en compte, le cas échéant, des standards et orientations du Ministère de la Transition Numérique et de la Réforme de l’Administration en matière d’interopérabilité, de dématérialisation et de services numériques publics ; </w:t>
      </w:r>
    </w:p>
    <w:p w:rsidR="003B5EBC" w:rsidRDefault="00A1518B">
      <w:pPr>
        <w:numPr>
          <w:ilvl w:val="0"/>
          <w:numId w:val="20"/>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proposition de scénarios d’intégration à court, moyen et long terme ; </w:t>
      </w:r>
    </w:p>
    <w:p w:rsidR="003B5EBC" w:rsidRDefault="00A1518B">
      <w:pPr>
        <w:numPr>
          <w:ilvl w:val="0"/>
          <w:numId w:val="20"/>
        </w:numPr>
        <w:tabs>
          <w:tab w:val="left" w:pos="284"/>
        </w:tabs>
        <w:spacing w:after="0"/>
        <w:jc w:val="both"/>
        <w:rPr>
          <w:rFonts w:ascii="Garamond" w:hAnsi="Garamond" w:cstheme="majorBidi"/>
          <w:sz w:val="24"/>
          <w:szCs w:val="24"/>
        </w:rPr>
      </w:pPr>
      <w:r>
        <w:rPr>
          <w:rFonts w:ascii="Garamond" w:hAnsi="Garamond" w:cstheme="majorBidi"/>
          <w:sz w:val="24"/>
          <w:szCs w:val="24"/>
        </w:rPr>
        <w:t>La formulation de recommandations pour garantir une circulation fluide, sécurisée et durable des données entre les systèmes concernés.</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color w:val="0070C0"/>
          <w:sz w:val="24"/>
          <w:szCs w:val="24"/>
        </w:rPr>
      </w:pPr>
      <w:r>
        <w:rPr>
          <w:rFonts w:ascii="Garamond" w:hAnsi="Garamond" w:cstheme="majorBidi"/>
          <w:color w:val="1F3864" w:themeColor="accent5" w:themeShade="80"/>
          <w:sz w:val="24"/>
          <w:szCs w:val="24"/>
        </w:rPr>
        <w:t>Livrable 2.3 — L2.3 : Note d’analyse de l’interopérabilité, de l’hébergement et de la compatibilité informatique</w:t>
      </w:r>
    </w:p>
    <w:p w:rsidR="003B5EBC" w:rsidRDefault="00A1518B">
      <w:pPr>
        <w:spacing w:after="0"/>
        <w:jc w:val="both"/>
        <w:rPr>
          <w:rFonts w:ascii="Garamond" w:hAnsi="Garamond" w:cstheme="majorBidi"/>
          <w:sz w:val="24"/>
          <w:szCs w:val="24"/>
        </w:rPr>
      </w:pPr>
      <w:r>
        <w:rPr>
          <w:rFonts w:ascii="Garamond" w:hAnsi="Garamond" w:cstheme="majorBidi"/>
          <w:sz w:val="24"/>
          <w:szCs w:val="24"/>
        </w:rPr>
        <w:t>La note devra inclure :</w:t>
      </w:r>
    </w:p>
    <w:p w:rsidR="003B5EBC" w:rsidRDefault="00A1518B">
      <w:pPr>
        <w:numPr>
          <w:ilvl w:val="0"/>
          <w:numId w:val="21"/>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L’analyse de l’articulation avec le CHM Biodiversité ; </w:t>
      </w:r>
    </w:p>
    <w:p w:rsidR="003B5EBC" w:rsidRDefault="00A1518B">
      <w:pPr>
        <w:numPr>
          <w:ilvl w:val="0"/>
          <w:numId w:val="21"/>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données à échanger ou alimenter ; </w:t>
      </w:r>
    </w:p>
    <w:p w:rsidR="003B5EBC" w:rsidRDefault="00A1518B">
      <w:pPr>
        <w:numPr>
          <w:ilvl w:val="0"/>
          <w:numId w:val="21"/>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besoins d’interopérabilité ; </w:t>
      </w:r>
    </w:p>
    <w:p w:rsidR="003B5EBC" w:rsidRDefault="00A1518B">
      <w:pPr>
        <w:numPr>
          <w:ilvl w:val="0"/>
          <w:numId w:val="21"/>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scénarios d’intégration proposés ; </w:t>
      </w:r>
    </w:p>
    <w:p w:rsidR="003B5EBC" w:rsidRDefault="00A1518B">
      <w:pPr>
        <w:numPr>
          <w:ilvl w:val="0"/>
          <w:numId w:val="21"/>
        </w:numPr>
        <w:tabs>
          <w:tab w:val="left" w:pos="284"/>
        </w:tabs>
        <w:spacing w:after="0"/>
        <w:jc w:val="both"/>
        <w:rPr>
          <w:rFonts w:ascii="Garamond" w:hAnsi="Garamond" w:cstheme="majorBidi"/>
          <w:sz w:val="24"/>
          <w:szCs w:val="24"/>
        </w:rPr>
      </w:pPr>
      <w:r>
        <w:rPr>
          <w:rFonts w:ascii="Garamond" w:hAnsi="Garamond" w:cstheme="majorBidi"/>
          <w:sz w:val="24"/>
          <w:szCs w:val="24"/>
        </w:rPr>
        <w:lastRenderedPageBreak/>
        <w:t xml:space="preserve">Les protocoles et normes de partage de données ; </w:t>
      </w:r>
    </w:p>
    <w:p w:rsidR="003B5EBC" w:rsidRDefault="00A1518B">
      <w:pPr>
        <w:numPr>
          <w:ilvl w:val="0"/>
          <w:numId w:val="21"/>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exigences et prérequis d’hébergement auprès du ministère chargé de l’environnement ; </w:t>
      </w:r>
    </w:p>
    <w:p w:rsidR="003B5EBC" w:rsidRDefault="00A1518B">
      <w:pPr>
        <w:numPr>
          <w:ilvl w:val="0"/>
          <w:numId w:val="21"/>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L’analyse de compatibilité avec l’environnement informatique du MTEDD-DDD ; </w:t>
      </w:r>
    </w:p>
    <w:p w:rsidR="003B5EBC" w:rsidRDefault="00A1518B">
      <w:pPr>
        <w:numPr>
          <w:ilvl w:val="0"/>
          <w:numId w:val="21"/>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exigences de sécurité, confidentialité, sauvegarde, accès, administration et maintenance ; </w:t>
      </w:r>
    </w:p>
    <w:p w:rsidR="003B5EBC" w:rsidRDefault="00A1518B">
      <w:pPr>
        <w:numPr>
          <w:ilvl w:val="0"/>
          <w:numId w:val="21"/>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recommandations liées à la coordination avec le Ministère de la Transition Numérique et de la Réforme de l’Administration, le cas échéant ; </w:t>
      </w:r>
    </w:p>
    <w:p w:rsidR="003B5EBC" w:rsidRDefault="00A1518B">
      <w:pPr>
        <w:numPr>
          <w:ilvl w:val="0"/>
          <w:numId w:val="21"/>
        </w:numPr>
        <w:tabs>
          <w:tab w:val="left" w:pos="284"/>
        </w:tabs>
        <w:spacing w:after="0"/>
        <w:jc w:val="both"/>
        <w:rPr>
          <w:rFonts w:ascii="Garamond" w:hAnsi="Garamond" w:cstheme="majorBidi"/>
          <w:sz w:val="24"/>
          <w:szCs w:val="24"/>
        </w:rPr>
      </w:pPr>
      <w:r>
        <w:rPr>
          <w:rFonts w:ascii="Garamond" w:hAnsi="Garamond" w:cstheme="majorBidi"/>
          <w:sz w:val="24"/>
          <w:szCs w:val="24"/>
        </w:rPr>
        <w:t>Les recommandations techniques et institutionnelles pour assurer l’exploitation durable du système.</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i/>
          <w:iCs/>
          <w:sz w:val="24"/>
          <w:szCs w:val="24"/>
        </w:rPr>
      </w:pPr>
      <w:r>
        <w:rPr>
          <w:rFonts w:ascii="Garamond" w:hAnsi="Garamond" w:cstheme="majorBidi"/>
          <w:i/>
          <w:iCs/>
          <w:sz w:val="24"/>
          <w:szCs w:val="24"/>
        </w:rPr>
        <w:t>Délai indicatif : 13</w:t>
      </w:r>
      <w:r w:rsidR="00E91CFB">
        <w:rPr>
          <w:rFonts w:ascii="Garamond" w:hAnsi="Garamond" w:cstheme="majorBidi"/>
          <w:i/>
          <w:iCs/>
          <w:sz w:val="24"/>
          <w:szCs w:val="24"/>
          <w:lang w:val="fr-FR"/>
        </w:rPr>
        <w:t>5</w:t>
      </w:r>
      <w:r>
        <w:rPr>
          <w:rFonts w:ascii="Garamond" w:hAnsi="Garamond" w:cstheme="majorBidi"/>
          <w:i/>
          <w:iCs/>
          <w:sz w:val="24"/>
          <w:szCs w:val="24"/>
        </w:rPr>
        <w:t xml:space="preserve"> jours (4,</w:t>
      </w:r>
      <w:r w:rsidR="00E91CFB">
        <w:rPr>
          <w:rFonts w:ascii="Garamond" w:hAnsi="Garamond" w:cstheme="majorBidi"/>
          <w:i/>
          <w:iCs/>
          <w:sz w:val="24"/>
          <w:szCs w:val="24"/>
          <w:lang w:val="fr-FR"/>
        </w:rPr>
        <w:t>5</w:t>
      </w:r>
      <w:r>
        <w:rPr>
          <w:rFonts w:ascii="Garamond" w:hAnsi="Garamond" w:cstheme="majorBidi"/>
          <w:i/>
          <w:iCs/>
          <w:sz w:val="24"/>
          <w:szCs w:val="24"/>
        </w:rPr>
        <w:t xml:space="preserve"> mois) après la signature du contrat.</w:t>
      </w:r>
    </w:p>
    <w:p w:rsidR="003B5EBC" w:rsidRPr="00C00FCA" w:rsidRDefault="003B5EBC">
      <w:pPr>
        <w:spacing w:after="0"/>
        <w:jc w:val="both"/>
        <w:rPr>
          <w:rFonts w:ascii="Garamond" w:hAnsi="Garamond" w:cstheme="majorBidi"/>
          <w:sz w:val="24"/>
          <w:szCs w:val="24"/>
          <w:lang w:val="fr-FR"/>
        </w:rPr>
      </w:pPr>
    </w:p>
    <w:p w:rsidR="003B5EBC" w:rsidRDefault="003B5EBC">
      <w:pPr>
        <w:spacing w:after="0"/>
        <w:jc w:val="both"/>
        <w:rPr>
          <w:rFonts w:ascii="Garamond" w:hAnsi="Garamond" w:cstheme="majorBidi"/>
          <w:sz w:val="24"/>
          <w:szCs w:val="24"/>
        </w:rPr>
      </w:pPr>
    </w:p>
    <w:p w:rsidR="003B5EBC" w:rsidRDefault="00A1518B">
      <w:pPr>
        <w:pStyle w:val="Paragraphedeliste"/>
        <w:numPr>
          <w:ilvl w:val="0"/>
          <w:numId w:val="7"/>
        </w:numPr>
        <w:spacing w:after="0"/>
        <w:ind w:left="284" w:hanging="284"/>
        <w:jc w:val="both"/>
        <w:rPr>
          <w:rFonts w:ascii="Garamond" w:hAnsi="Garamond" w:cstheme="majorBidi"/>
          <w:b/>
          <w:bCs/>
          <w:sz w:val="26"/>
          <w:szCs w:val="26"/>
        </w:rPr>
      </w:pPr>
      <w:r>
        <w:rPr>
          <w:rFonts w:ascii="Garamond" w:hAnsi="Garamond" w:cstheme="majorBidi"/>
          <w:b/>
          <w:bCs/>
          <w:sz w:val="26"/>
          <w:szCs w:val="26"/>
        </w:rPr>
        <w:t xml:space="preserve">Mission 3 : Développement, mise en ligne, formation et transfert de compétences </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Cette mission vise à assurer le développement effectif de la plateforme électronique APA, sa mise en ligne, sa validation par les utilisateurs et son appropriation durable par les institutions concernées.</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b/>
          <w:bCs/>
          <w:color w:val="1F4E79" w:themeColor="accent1" w:themeShade="80"/>
          <w:sz w:val="24"/>
          <w:szCs w:val="24"/>
        </w:rPr>
      </w:pPr>
      <w:r>
        <w:rPr>
          <w:rFonts w:ascii="Garamond" w:hAnsi="Garamond" w:cstheme="majorBidi"/>
          <w:b/>
          <w:bCs/>
          <w:color w:val="1F4E79" w:themeColor="accent1" w:themeShade="80"/>
          <w:sz w:val="24"/>
          <w:szCs w:val="24"/>
        </w:rPr>
        <w:t>Activité 3.1 : Développement de la plateforme électronique APA</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Le prestataire devra développer et proposer un système électronique normalisé de demande de permis APA, conformément au cahier des charges fonctionnel et technique ainsi qu’à l’architecture validée. La plateforme devra être développée en veillant à sa compatibilité avec l’environnement informatique du Ministère de la Transition Énergétique et du Développement Durable / Département du Développement Durable, qui assurera son hébergement. Le système devra également tenir compte des exigences nationales en matière de digitalisation des services publics et, le cas échéant, des orientations du Ministère de la Transition Numérique et de la Réforme de l’Administration.</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Cette activité comprendra notamment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t>Le développement de l’interface de dépôt des demandes par les bioprospecteurs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t>Le développement des formulaires électroniques standardisés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t>Le développement du module de gestion documentaire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t>Le développement des workflows de traitement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t>Le développement des modules d’instruction, validation, notification et archivage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t>Le développement des tableaux de bord de suivi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t>Le développement des fonctionnalités de reporting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t>La configuration des profils utilisateurs et droits d’accès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t>L’intégration des mécanismes de sécurité, de confidentialité, de sauvegarde et de traçabilité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t>La vérification de la compatibilité de la plateforme avec l’environnement informatique, les standards techniques et les politiques de sécurité du Ministère de la Transition Énergétique et du Développement Durable / Département du Développement Durable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t>La prise en compte, le cas échéant, des exigences nationales en matière d’interopérabilité, de dématérialisation et de modernisation des services publics ;</w:t>
      </w:r>
    </w:p>
    <w:p w:rsidR="003B5EBC" w:rsidRDefault="00A1518B">
      <w:pPr>
        <w:numPr>
          <w:ilvl w:val="0"/>
          <w:numId w:val="24"/>
        </w:numPr>
        <w:spacing w:after="0"/>
        <w:jc w:val="both"/>
        <w:rPr>
          <w:rFonts w:ascii="Garamond" w:hAnsi="Garamond" w:cstheme="majorBidi"/>
          <w:sz w:val="24"/>
          <w:szCs w:val="24"/>
        </w:rPr>
      </w:pPr>
      <w:r>
        <w:rPr>
          <w:rFonts w:ascii="Garamond" w:hAnsi="Garamond" w:cstheme="majorBidi"/>
          <w:sz w:val="24"/>
          <w:szCs w:val="24"/>
        </w:rPr>
        <w:lastRenderedPageBreak/>
        <w:t>La documentation des choix techniques et fonctionnels.</w:t>
      </w:r>
    </w:p>
    <w:p w:rsidR="003B5EBC" w:rsidRDefault="003B5EBC">
      <w:pPr>
        <w:spacing w:after="0"/>
        <w:ind w:left="720"/>
        <w:jc w:val="both"/>
        <w:rPr>
          <w:rFonts w:ascii="Garamond" w:hAnsi="Garamond" w:cstheme="majorBidi"/>
          <w:sz w:val="24"/>
          <w:szCs w:val="24"/>
        </w:rPr>
      </w:pPr>
    </w:p>
    <w:p w:rsidR="003B5EBC" w:rsidRDefault="00A1518B">
      <w:pPr>
        <w:tabs>
          <w:tab w:val="left" w:pos="7395"/>
        </w:tabs>
        <w:spacing w:after="0"/>
        <w:jc w:val="both"/>
        <w:rPr>
          <w:rFonts w:ascii="Garamond" w:hAnsi="Garamond"/>
          <w:color w:val="1F3864" w:themeColor="accent5" w:themeShade="80"/>
          <w:sz w:val="24"/>
          <w:szCs w:val="24"/>
        </w:rPr>
      </w:pPr>
      <w:r>
        <w:rPr>
          <w:rFonts w:ascii="Garamond" w:hAnsi="Garamond"/>
          <w:color w:val="1F3864" w:themeColor="accent5" w:themeShade="80"/>
          <w:sz w:val="24"/>
          <w:szCs w:val="24"/>
        </w:rPr>
        <w:t>Livrable 3.1 — L3.1 : Version bêta de la plateforme électronique APA</w:t>
      </w:r>
    </w:p>
    <w:p w:rsidR="003B5EBC" w:rsidRDefault="00A1518B">
      <w:pPr>
        <w:spacing w:after="0"/>
        <w:jc w:val="both"/>
        <w:rPr>
          <w:rFonts w:ascii="Garamond" w:hAnsi="Garamond" w:cstheme="majorBidi"/>
          <w:sz w:val="24"/>
          <w:szCs w:val="24"/>
        </w:rPr>
      </w:pPr>
      <w:r>
        <w:rPr>
          <w:rFonts w:ascii="Garamond" w:hAnsi="Garamond" w:cstheme="majorBidi"/>
          <w:sz w:val="24"/>
          <w:szCs w:val="24"/>
        </w:rPr>
        <w:t>Le livrable devra inclure :</w:t>
      </w:r>
    </w:p>
    <w:p w:rsidR="003B5EBC" w:rsidRDefault="00A1518B">
      <w:pPr>
        <w:numPr>
          <w:ilvl w:val="0"/>
          <w:numId w:val="25"/>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version bêta fonctionnelle de la plateforme ; </w:t>
      </w:r>
    </w:p>
    <w:p w:rsidR="003B5EBC" w:rsidRDefault="00A1518B">
      <w:pPr>
        <w:numPr>
          <w:ilvl w:val="0"/>
          <w:numId w:val="25"/>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principaux modules développés ; </w:t>
      </w:r>
    </w:p>
    <w:p w:rsidR="003B5EBC" w:rsidRDefault="00A1518B">
      <w:pPr>
        <w:numPr>
          <w:ilvl w:val="0"/>
          <w:numId w:val="25"/>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formulaires électroniques intégrés ; </w:t>
      </w:r>
    </w:p>
    <w:p w:rsidR="003B5EBC" w:rsidRDefault="00A1518B">
      <w:pPr>
        <w:numPr>
          <w:ilvl w:val="0"/>
          <w:numId w:val="25"/>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workflows configurés ; </w:t>
      </w:r>
    </w:p>
    <w:p w:rsidR="003B5EBC" w:rsidRDefault="00A1518B">
      <w:pPr>
        <w:numPr>
          <w:ilvl w:val="0"/>
          <w:numId w:val="25"/>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profils utilisateurs configurés ; </w:t>
      </w:r>
    </w:p>
    <w:p w:rsidR="003B5EBC" w:rsidRDefault="00A1518B">
      <w:pPr>
        <w:numPr>
          <w:ilvl w:val="0"/>
          <w:numId w:val="25"/>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Les premières fonctionnalités de suivi et reporting ; </w:t>
      </w:r>
    </w:p>
    <w:p w:rsidR="003B5EBC" w:rsidRDefault="00A1518B">
      <w:pPr>
        <w:numPr>
          <w:ilvl w:val="0"/>
          <w:numId w:val="25"/>
        </w:numPr>
        <w:tabs>
          <w:tab w:val="left" w:pos="284"/>
        </w:tabs>
        <w:spacing w:after="0"/>
        <w:jc w:val="both"/>
        <w:rPr>
          <w:rFonts w:ascii="Garamond" w:hAnsi="Garamond" w:cstheme="majorBidi"/>
          <w:sz w:val="24"/>
          <w:szCs w:val="24"/>
        </w:rPr>
      </w:pPr>
      <w:r>
        <w:rPr>
          <w:rFonts w:ascii="Garamond" w:hAnsi="Garamond" w:cstheme="majorBidi"/>
          <w:sz w:val="24"/>
          <w:szCs w:val="24"/>
        </w:rPr>
        <w:t xml:space="preserve">Une note technique décrivant les choix de développement ; </w:t>
      </w:r>
    </w:p>
    <w:p w:rsidR="003B5EBC" w:rsidRDefault="00A1518B">
      <w:pPr>
        <w:numPr>
          <w:ilvl w:val="0"/>
          <w:numId w:val="25"/>
        </w:numPr>
        <w:tabs>
          <w:tab w:val="left" w:pos="284"/>
        </w:tabs>
        <w:spacing w:after="0"/>
        <w:jc w:val="both"/>
        <w:rPr>
          <w:rFonts w:ascii="Garamond" w:hAnsi="Garamond" w:cstheme="majorBidi"/>
          <w:sz w:val="24"/>
          <w:szCs w:val="24"/>
        </w:rPr>
      </w:pPr>
      <w:r>
        <w:rPr>
          <w:rFonts w:ascii="Garamond" w:hAnsi="Garamond" w:cstheme="majorBidi"/>
          <w:sz w:val="24"/>
          <w:szCs w:val="24"/>
        </w:rPr>
        <w:t>Une note de conformité préliminaire confirmant la compatibilité de la plateforme avec l’environnement informatique du Ministère de la Transition Énergétique et du Développement Durable / Département du Développement Durable.</w:t>
      </w:r>
    </w:p>
    <w:p w:rsidR="003B5EBC" w:rsidRDefault="003B5EBC">
      <w:pPr>
        <w:spacing w:after="0"/>
        <w:jc w:val="both"/>
        <w:rPr>
          <w:rFonts w:ascii="Garamond" w:hAnsi="Garamond" w:cstheme="majorBidi"/>
          <w:sz w:val="24"/>
          <w:szCs w:val="24"/>
        </w:rPr>
      </w:pPr>
    </w:p>
    <w:p w:rsidR="003B5EBC" w:rsidRDefault="00A1518B">
      <w:pPr>
        <w:spacing w:after="0" w:line="240" w:lineRule="auto"/>
        <w:rPr>
          <w:rFonts w:ascii="Garamond" w:eastAsia="Times New Roman" w:hAnsi="Garamond" w:cs="Times New Roman"/>
          <w:i/>
          <w:iCs/>
          <w:sz w:val="24"/>
          <w:szCs w:val="24"/>
          <w:lang w:eastAsia="zh-CN"/>
        </w:rPr>
      </w:pPr>
      <w:r>
        <w:rPr>
          <w:rFonts w:ascii="Garamond" w:eastAsia="Times New Roman" w:hAnsi="Garamond" w:cs="Times New Roman"/>
          <w:i/>
          <w:iCs/>
          <w:sz w:val="24"/>
          <w:szCs w:val="24"/>
          <w:lang w:eastAsia="zh-CN"/>
        </w:rPr>
        <w:t>Délai indicatif : 150 jours (5 mois) après la signature du contrat.</w:t>
      </w:r>
    </w:p>
    <w:p w:rsidR="003B5EBC" w:rsidRDefault="003B5EBC">
      <w:pPr>
        <w:spacing w:after="0" w:line="240" w:lineRule="auto"/>
        <w:rPr>
          <w:rFonts w:ascii="Garamond" w:eastAsia="Times New Roman" w:hAnsi="Garamond" w:cs="Times New Roman"/>
          <w:i/>
          <w:iCs/>
          <w:sz w:val="24"/>
          <w:szCs w:val="24"/>
          <w:lang w:eastAsia="zh-CN"/>
        </w:rPr>
      </w:pPr>
    </w:p>
    <w:p w:rsidR="003B5EBC" w:rsidRDefault="003B5EBC">
      <w:pPr>
        <w:spacing w:after="0" w:line="240" w:lineRule="auto"/>
        <w:rPr>
          <w:rFonts w:ascii="Garamond" w:eastAsia="Times New Roman" w:hAnsi="Garamond" w:cs="Times New Roman"/>
          <w:sz w:val="24"/>
          <w:szCs w:val="24"/>
          <w:lang w:eastAsia="zh-CN"/>
        </w:rPr>
      </w:pPr>
    </w:p>
    <w:p w:rsidR="003B5EBC" w:rsidRDefault="00A1518B">
      <w:pPr>
        <w:spacing w:after="0" w:line="240" w:lineRule="auto"/>
        <w:rPr>
          <w:rFonts w:ascii="Garamond" w:eastAsia="Times New Roman" w:hAnsi="Garamond" w:cs="Times New Roman"/>
          <w:b/>
          <w:bCs/>
          <w:color w:val="1F4E79" w:themeColor="accent1" w:themeShade="80"/>
          <w:sz w:val="24"/>
          <w:szCs w:val="24"/>
          <w:lang w:eastAsia="zh-CN"/>
        </w:rPr>
      </w:pPr>
      <w:r>
        <w:rPr>
          <w:rFonts w:ascii="Garamond" w:eastAsia="Times New Roman" w:hAnsi="Garamond" w:cs="Times New Roman"/>
          <w:b/>
          <w:bCs/>
          <w:color w:val="1F4E79" w:themeColor="accent1" w:themeShade="80"/>
          <w:sz w:val="24"/>
          <w:szCs w:val="24"/>
          <w:lang w:eastAsia="zh-CN"/>
        </w:rPr>
        <w:t>Activité 3.2 : Tests, phase pilote, ajustements et mise en ligne</w:t>
      </w:r>
    </w:p>
    <w:p w:rsidR="003B5EBC" w:rsidRDefault="003B5EBC">
      <w:pPr>
        <w:spacing w:after="0" w:line="240" w:lineRule="auto"/>
        <w:rPr>
          <w:rFonts w:ascii="Garamond" w:eastAsia="Times New Roman" w:hAnsi="Garamond" w:cs="Times New Roman"/>
          <w:sz w:val="24"/>
          <w:szCs w:val="24"/>
          <w:lang w:eastAsia="zh-CN"/>
        </w:rPr>
      </w:pPr>
    </w:p>
    <w:p w:rsidR="003B5EBC" w:rsidRDefault="00A1518B">
      <w:pPr>
        <w:spacing w:after="0"/>
        <w:jc w:val="both"/>
        <w:rPr>
          <w:rFonts w:ascii="Garamond" w:hAnsi="Garamond" w:cstheme="majorBidi"/>
          <w:sz w:val="24"/>
          <w:szCs w:val="24"/>
        </w:rPr>
      </w:pPr>
      <w:r>
        <w:rPr>
          <w:rFonts w:ascii="Garamond" w:hAnsi="Garamond" w:cstheme="majorBidi"/>
          <w:sz w:val="24"/>
          <w:szCs w:val="24"/>
        </w:rPr>
        <w:t>Le prestataire devra tester la plateforme, organiser une phase pilote, intégrer les ajustements nécessaires et procéder à sa mise en ligne.</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Cette activité comprendra notamment :</w:t>
      </w:r>
    </w:p>
    <w:p w:rsidR="003B5EBC" w:rsidRDefault="00A1518B">
      <w:pPr>
        <w:numPr>
          <w:ilvl w:val="0"/>
          <w:numId w:val="26"/>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réalisation des tests fonctionnels ; </w:t>
      </w:r>
    </w:p>
    <w:p w:rsidR="003B5EBC" w:rsidRDefault="00A1518B">
      <w:pPr>
        <w:numPr>
          <w:ilvl w:val="0"/>
          <w:numId w:val="26"/>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réalisation des tests techniques ; </w:t>
      </w:r>
    </w:p>
    <w:p w:rsidR="003B5EBC" w:rsidRDefault="00A1518B">
      <w:pPr>
        <w:numPr>
          <w:ilvl w:val="0"/>
          <w:numId w:val="26"/>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réalisation des tests d’ergonomie et d’accessibilité ; </w:t>
      </w:r>
    </w:p>
    <w:p w:rsidR="003B5EBC" w:rsidRDefault="00A1518B">
      <w:pPr>
        <w:numPr>
          <w:ilvl w:val="0"/>
          <w:numId w:val="26"/>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réalisation des tests de sécurité ; </w:t>
      </w:r>
    </w:p>
    <w:p w:rsidR="003B5EBC" w:rsidRDefault="00A1518B">
      <w:pPr>
        <w:numPr>
          <w:ilvl w:val="0"/>
          <w:numId w:val="26"/>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L’organisation d’une phase pilote avec les utilisateurs concernés ; </w:t>
      </w:r>
    </w:p>
    <w:p w:rsidR="003B5EBC" w:rsidRDefault="00A1518B">
      <w:pPr>
        <w:numPr>
          <w:ilvl w:val="0"/>
          <w:numId w:val="26"/>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collecte des retours utilisateurs ; </w:t>
      </w:r>
    </w:p>
    <w:p w:rsidR="003B5EBC" w:rsidRDefault="00A1518B">
      <w:pPr>
        <w:numPr>
          <w:ilvl w:val="0"/>
          <w:numId w:val="26"/>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correction des anomalies ; </w:t>
      </w:r>
    </w:p>
    <w:p w:rsidR="003B5EBC" w:rsidRDefault="00A1518B">
      <w:pPr>
        <w:numPr>
          <w:ilvl w:val="0"/>
          <w:numId w:val="26"/>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L’ajustement des fonctionnalités ; </w:t>
      </w:r>
    </w:p>
    <w:p w:rsidR="003B5EBC" w:rsidRDefault="00A1518B">
      <w:pPr>
        <w:numPr>
          <w:ilvl w:val="0"/>
          <w:numId w:val="26"/>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validation finale de la plateforme avec l’équipe projet ; </w:t>
      </w:r>
    </w:p>
    <w:p w:rsidR="003B5EBC" w:rsidRDefault="00A1518B">
      <w:pPr>
        <w:numPr>
          <w:ilvl w:val="0"/>
          <w:numId w:val="26"/>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mise en ligne de la plateforme dans l’environnement d’hébergement retenu ; </w:t>
      </w:r>
    </w:p>
    <w:p w:rsidR="003B5EBC" w:rsidRDefault="00A1518B">
      <w:pPr>
        <w:numPr>
          <w:ilvl w:val="0"/>
          <w:numId w:val="26"/>
        </w:numPr>
        <w:tabs>
          <w:tab w:val="left" w:pos="284"/>
        </w:tabs>
        <w:spacing w:after="0"/>
        <w:jc w:val="both"/>
        <w:rPr>
          <w:rFonts w:ascii="Garamond" w:hAnsi="Garamond" w:cstheme="majorBidi"/>
          <w:sz w:val="24"/>
          <w:szCs w:val="24"/>
        </w:rPr>
      </w:pPr>
      <w:r>
        <w:rPr>
          <w:rFonts w:ascii="Garamond" w:hAnsi="Garamond" w:cstheme="majorBidi"/>
          <w:sz w:val="24"/>
          <w:szCs w:val="24"/>
        </w:rPr>
        <w:t>La vérification de sa compatibilité avec l’environnement informatique du MTEDD-DDD.</w:t>
      </w:r>
    </w:p>
    <w:p w:rsidR="003B5EBC" w:rsidRDefault="003B5EBC">
      <w:pPr>
        <w:spacing w:after="0"/>
        <w:jc w:val="both"/>
        <w:rPr>
          <w:rFonts w:ascii="Garamond" w:hAnsi="Garamond" w:cstheme="majorBidi"/>
          <w:sz w:val="24"/>
          <w:szCs w:val="24"/>
        </w:rPr>
      </w:pPr>
    </w:p>
    <w:p w:rsidR="003B5EBC" w:rsidRDefault="00A1518B">
      <w:pPr>
        <w:tabs>
          <w:tab w:val="left" w:pos="7395"/>
        </w:tabs>
        <w:spacing w:after="0"/>
        <w:jc w:val="both"/>
        <w:rPr>
          <w:rFonts w:ascii="Garamond" w:hAnsi="Garamond"/>
          <w:color w:val="1F3864" w:themeColor="accent5" w:themeShade="80"/>
          <w:sz w:val="24"/>
          <w:szCs w:val="24"/>
        </w:rPr>
      </w:pPr>
      <w:r>
        <w:rPr>
          <w:rFonts w:ascii="Garamond" w:hAnsi="Garamond"/>
          <w:color w:val="1F3864" w:themeColor="accent5" w:themeShade="80"/>
          <w:sz w:val="24"/>
          <w:szCs w:val="24"/>
        </w:rPr>
        <w:t>Livrable 3.2 — L3.2 : Plateforme testée, validée et mise en ligne</w:t>
      </w:r>
    </w:p>
    <w:p w:rsidR="003B5EBC" w:rsidRDefault="00A1518B">
      <w:pPr>
        <w:spacing w:after="0"/>
        <w:jc w:val="both"/>
        <w:rPr>
          <w:rFonts w:ascii="Garamond" w:hAnsi="Garamond" w:cstheme="majorBidi"/>
          <w:sz w:val="24"/>
          <w:szCs w:val="24"/>
        </w:rPr>
      </w:pPr>
      <w:r>
        <w:rPr>
          <w:rFonts w:ascii="Garamond" w:hAnsi="Garamond" w:cstheme="majorBidi"/>
          <w:sz w:val="24"/>
          <w:szCs w:val="24"/>
        </w:rPr>
        <w:t>Le livrable devra inclure :</w:t>
      </w:r>
    </w:p>
    <w:p w:rsidR="003B5EBC" w:rsidRDefault="00A1518B">
      <w:pPr>
        <w:numPr>
          <w:ilvl w:val="0"/>
          <w:numId w:val="27"/>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plateforme électronique APA mise en ligne ; </w:t>
      </w:r>
    </w:p>
    <w:p w:rsidR="003B5EBC" w:rsidRDefault="00A1518B">
      <w:pPr>
        <w:numPr>
          <w:ilvl w:val="0"/>
          <w:numId w:val="27"/>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 rapport des tests fonctionnels, techniques, ergonomiques et sécuritaires ; </w:t>
      </w:r>
    </w:p>
    <w:p w:rsidR="003B5EBC" w:rsidRDefault="00A1518B">
      <w:pPr>
        <w:numPr>
          <w:ilvl w:val="0"/>
          <w:numId w:val="27"/>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 rapport de phase pilote ; </w:t>
      </w:r>
    </w:p>
    <w:p w:rsidR="003B5EBC" w:rsidRDefault="00A1518B">
      <w:pPr>
        <w:numPr>
          <w:ilvl w:val="0"/>
          <w:numId w:val="27"/>
        </w:numPr>
        <w:tabs>
          <w:tab w:val="left" w:pos="284"/>
        </w:tabs>
        <w:spacing w:after="0"/>
        <w:jc w:val="both"/>
        <w:rPr>
          <w:rFonts w:ascii="Garamond" w:hAnsi="Garamond" w:cstheme="majorBidi"/>
          <w:sz w:val="24"/>
          <w:szCs w:val="24"/>
        </w:rPr>
      </w:pPr>
      <w:r>
        <w:rPr>
          <w:rFonts w:ascii="Garamond" w:hAnsi="Garamond" w:cstheme="majorBidi"/>
          <w:sz w:val="24"/>
          <w:szCs w:val="24"/>
        </w:rPr>
        <w:lastRenderedPageBreak/>
        <w:t xml:space="preserve">La liste des ajustements effectués ; </w:t>
      </w:r>
    </w:p>
    <w:p w:rsidR="003B5EBC" w:rsidRDefault="00A1518B">
      <w:pPr>
        <w:numPr>
          <w:ilvl w:val="0"/>
          <w:numId w:val="27"/>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preuve de mise en ligne dans l’environnement d’hébergement retenu ; </w:t>
      </w:r>
    </w:p>
    <w:p w:rsidR="003B5EBC" w:rsidRDefault="00A1518B">
      <w:pPr>
        <w:numPr>
          <w:ilvl w:val="0"/>
          <w:numId w:val="27"/>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La documentation de compatibilité avec l’environnement informatique du MTEDD-DDD. </w:t>
      </w:r>
    </w:p>
    <w:p w:rsidR="003B5EBC" w:rsidRDefault="003B5EBC">
      <w:pPr>
        <w:spacing w:after="0"/>
        <w:jc w:val="both"/>
        <w:rPr>
          <w:rFonts w:ascii="Garamond" w:hAnsi="Garamond" w:cstheme="majorBidi"/>
          <w:sz w:val="24"/>
          <w:szCs w:val="24"/>
        </w:rPr>
      </w:pPr>
    </w:p>
    <w:p w:rsidR="003B5EBC" w:rsidRDefault="00A1518B">
      <w:pPr>
        <w:tabs>
          <w:tab w:val="left" w:pos="7395"/>
        </w:tabs>
        <w:spacing w:after="0"/>
        <w:jc w:val="both"/>
        <w:rPr>
          <w:rFonts w:ascii="Garamond" w:hAnsi="Garamond"/>
          <w:i/>
          <w:iCs/>
          <w:color w:val="000000" w:themeColor="text1"/>
          <w:sz w:val="24"/>
          <w:szCs w:val="24"/>
        </w:rPr>
      </w:pPr>
      <w:r>
        <w:rPr>
          <w:rFonts w:ascii="Garamond" w:hAnsi="Garamond"/>
          <w:i/>
          <w:iCs/>
          <w:color w:val="000000" w:themeColor="text1"/>
          <w:sz w:val="24"/>
          <w:szCs w:val="24"/>
        </w:rPr>
        <w:t>Délai indicatif : 165 jours (5,5 mois) après la signature du contrat.</w:t>
      </w:r>
    </w:p>
    <w:p w:rsidR="003B5EBC" w:rsidRPr="00160BAC" w:rsidRDefault="003B5EBC">
      <w:pPr>
        <w:spacing w:after="0"/>
        <w:jc w:val="both"/>
        <w:rPr>
          <w:rFonts w:ascii="Garamond" w:eastAsia="SimSun" w:hAnsi="Garamond" w:cstheme="majorBidi"/>
          <w:sz w:val="24"/>
          <w:szCs w:val="24"/>
          <w:lang w:val="fr-FR" w:eastAsia="zh-CN"/>
        </w:rPr>
      </w:pP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b/>
          <w:bCs/>
          <w:color w:val="1F4E79" w:themeColor="accent1" w:themeShade="80"/>
          <w:sz w:val="24"/>
          <w:szCs w:val="24"/>
        </w:rPr>
      </w:pPr>
      <w:r>
        <w:rPr>
          <w:rFonts w:ascii="Garamond" w:hAnsi="Garamond" w:cstheme="majorBidi"/>
          <w:b/>
          <w:bCs/>
          <w:color w:val="1F4E79" w:themeColor="accent1" w:themeShade="80"/>
          <w:sz w:val="24"/>
          <w:szCs w:val="24"/>
        </w:rPr>
        <w:t>Activité 3.3 : Élaboration des manuels, formation et transfert de compétences</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Le prestataire devra élaborer les supports nécessaires à l’utilisation, à l’administration et à la maintenance du système, puis assurer la formation des utilisateurs concernés.</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sz w:val="24"/>
          <w:szCs w:val="24"/>
        </w:rPr>
      </w:pPr>
      <w:r>
        <w:rPr>
          <w:rFonts w:ascii="Garamond" w:hAnsi="Garamond" w:cstheme="majorBidi"/>
          <w:sz w:val="24"/>
          <w:szCs w:val="24"/>
        </w:rPr>
        <w:t>Cette activité comprendra notamment :</w:t>
      </w:r>
    </w:p>
    <w:p w:rsidR="003B5EBC" w:rsidRDefault="00A1518B">
      <w:pPr>
        <w:numPr>
          <w:ilvl w:val="0"/>
          <w:numId w:val="28"/>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L’élaboration d’un manuel utilisateur pour les bioprospecteurs ; </w:t>
      </w:r>
    </w:p>
    <w:p w:rsidR="003B5EBC" w:rsidRDefault="00A1518B">
      <w:pPr>
        <w:numPr>
          <w:ilvl w:val="0"/>
          <w:numId w:val="28"/>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L’élaboration d’un guide d’utilisation pour les autorités compétentes ; </w:t>
      </w:r>
    </w:p>
    <w:p w:rsidR="003B5EBC" w:rsidRDefault="00A1518B">
      <w:pPr>
        <w:numPr>
          <w:ilvl w:val="0"/>
          <w:numId w:val="28"/>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L’élaboration d’un guide d’administration de la plateforme ; </w:t>
      </w:r>
    </w:p>
    <w:p w:rsidR="003B5EBC" w:rsidRDefault="00A1518B">
      <w:pPr>
        <w:numPr>
          <w:ilvl w:val="0"/>
          <w:numId w:val="28"/>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L’élaboration d’une documentation technique pour la maintenance ; </w:t>
      </w:r>
    </w:p>
    <w:p w:rsidR="003B5EBC" w:rsidRDefault="00A1518B">
      <w:pPr>
        <w:numPr>
          <w:ilvl w:val="0"/>
          <w:numId w:val="28"/>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L’élaboration de procédures internes de traitement, suivi, validation et archivage des demandes ; </w:t>
      </w:r>
    </w:p>
    <w:p w:rsidR="003B5EBC" w:rsidRDefault="00A1518B">
      <w:pPr>
        <w:numPr>
          <w:ilvl w:val="0"/>
          <w:numId w:val="28"/>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L’élaboration des supports de formation ; </w:t>
      </w:r>
    </w:p>
    <w:p w:rsidR="003B5EBC" w:rsidRDefault="00A1518B">
      <w:pPr>
        <w:numPr>
          <w:ilvl w:val="0"/>
          <w:numId w:val="28"/>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L’organisation de sessions de formation pour les administrateurs techniques et fonctionnels ; </w:t>
      </w:r>
    </w:p>
    <w:p w:rsidR="003B5EBC" w:rsidRDefault="00A1518B">
      <w:pPr>
        <w:numPr>
          <w:ilvl w:val="0"/>
          <w:numId w:val="28"/>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L’organisation de sessions de formation pour les autorités compétentes ; </w:t>
      </w:r>
    </w:p>
    <w:p w:rsidR="003B5EBC" w:rsidRDefault="00A1518B">
      <w:pPr>
        <w:numPr>
          <w:ilvl w:val="0"/>
          <w:numId w:val="28"/>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L’organisation, le cas échéant, d’une session d’information à destination des bioprospecteurs potentiels ; </w:t>
      </w:r>
    </w:p>
    <w:p w:rsidR="003B5EBC" w:rsidRDefault="00A1518B">
      <w:pPr>
        <w:numPr>
          <w:ilvl w:val="0"/>
          <w:numId w:val="28"/>
        </w:numPr>
        <w:tabs>
          <w:tab w:val="left" w:pos="284"/>
        </w:tabs>
        <w:spacing w:after="0"/>
        <w:jc w:val="both"/>
        <w:rPr>
          <w:rFonts w:ascii="Garamond" w:hAnsi="Garamond" w:cstheme="majorBidi"/>
          <w:sz w:val="24"/>
          <w:szCs w:val="24"/>
        </w:rPr>
      </w:pPr>
      <w:r>
        <w:rPr>
          <w:rFonts w:ascii="Garamond" w:hAnsi="Garamond" w:cstheme="majorBidi"/>
          <w:sz w:val="24"/>
          <w:szCs w:val="24"/>
        </w:rPr>
        <w:t xml:space="preserve">Le transfert des accès, codes sources, manuels, guides, supports de formation et documentation technique ; </w:t>
      </w:r>
    </w:p>
    <w:p w:rsidR="003B5EBC" w:rsidRDefault="00A1518B">
      <w:pPr>
        <w:numPr>
          <w:ilvl w:val="0"/>
          <w:numId w:val="28"/>
        </w:numPr>
        <w:tabs>
          <w:tab w:val="left" w:pos="284"/>
        </w:tabs>
        <w:spacing w:after="0"/>
        <w:jc w:val="both"/>
        <w:rPr>
          <w:rFonts w:ascii="Garamond" w:hAnsi="Garamond" w:cstheme="majorBidi"/>
          <w:sz w:val="24"/>
          <w:szCs w:val="24"/>
        </w:rPr>
      </w:pPr>
      <w:r>
        <w:rPr>
          <w:rFonts w:ascii="Garamond" w:hAnsi="Garamond" w:cstheme="majorBidi"/>
          <w:sz w:val="24"/>
          <w:szCs w:val="24"/>
        </w:rPr>
        <w:t>La formulation de recommandations pour l’exploitation durable et l’évolution future du système.</w:t>
      </w:r>
    </w:p>
    <w:p w:rsidR="003B5EBC" w:rsidRDefault="003B5EBC">
      <w:pPr>
        <w:spacing w:after="0"/>
        <w:jc w:val="both"/>
        <w:rPr>
          <w:rFonts w:ascii="Garamond" w:hAnsi="Garamond" w:cstheme="majorBidi"/>
          <w:sz w:val="24"/>
          <w:szCs w:val="24"/>
        </w:rPr>
      </w:pPr>
    </w:p>
    <w:p w:rsidR="003B5EBC" w:rsidRDefault="003B5EBC">
      <w:pPr>
        <w:tabs>
          <w:tab w:val="left" w:pos="7395"/>
        </w:tabs>
        <w:spacing w:after="0"/>
        <w:jc w:val="both"/>
        <w:rPr>
          <w:rFonts w:ascii="Garamond" w:hAnsi="Garamond"/>
          <w:color w:val="0070C0"/>
          <w:sz w:val="24"/>
          <w:szCs w:val="24"/>
        </w:rPr>
      </w:pPr>
    </w:p>
    <w:p w:rsidR="003B5EBC" w:rsidRDefault="00A1518B">
      <w:pPr>
        <w:tabs>
          <w:tab w:val="left" w:pos="7395"/>
        </w:tabs>
        <w:spacing w:after="0"/>
        <w:jc w:val="both"/>
        <w:rPr>
          <w:rFonts w:ascii="Garamond" w:hAnsi="Garamond"/>
          <w:color w:val="1F3864" w:themeColor="accent5" w:themeShade="80"/>
          <w:sz w:val="24"/>
          <w:szCs w:val="24"/>
        </w:rPr>
      </w:pPr>
      <w:r>
        <w:rPr>
          <w:rFonts w:ascii="Garamond" w:hAnsi="Garamond"/>
          <w:color w:val="1F3864" w:themeColor="accent5" w:themeShade="80"/>
          <w:sz w:val="24"/>
          <w:szCs w:val="24"/>
        </w:rPr>
        <w:t>Livrable 3.3 — L3.3 : Manuels, documentation technique, formation et transfert de compétences</w:t>
      </w:r>
    </w:p>
    <w:p w:rsidR="003B5EBC" w:rsidRDefault="00A1518B">
      <w:pPr>
        <w:spacing w:after="0"/>
        <w:jc w:val="both"/>
        <w:rPr>
          <w:rFonts w:ascii="Garamond" w:hAnsi="Garamond" w:cstheme="majorBidi"/>
          <w:sz w:val="24"/>
          <w:szCs w:val="24"/>
        </w:rPr>
      </w:pPr>
      <w:r>
        <w:rPr>
          <w:rFonts w:ascii="Garamond" w:hAnsi="Garamond" w:cstheme="majorBidi"/>
          <w:sz w:val="24"/>
          <w:szCs w:val="24"/>
        </w:rPr>
        <w:t>Le livrable devra inclure :</w:t>
      </w:r>
    </w:p>
    <w:p w:rsidR="003B5EBC" w:rsidRDefault="00A1518B">
      <w:pPr>
        <w:numPr>
          <w:ilvl w:val="0"/>
          <w:numId w:val="29"/>
        </w:numPr>
        <w:spacing w:after="0"/>
        <w:jc w:val="both"/>
        <w:rPr>
          <w:rFonts w:ascii="Garamond" w:hAnsi="Garamond" w:cstheme="majorBidi"/>
          <w:sz w:val="24"/>
          <w:szCs w:val="24"/>
        </w:rPr>
      </w:pPr>
      <w:r>
        <w:rPr>
          <w:rFonts w:ascii="Garamond" w:hAnsi="Garamond" w:cstheme="majorBidi"/>
          <w:sz w:val="24"/>
          <w:szCs w:val="24"/>
        </w:rPr>
        <w:t>Le manuel utilisateur ;</w:t>
      </w:r>
    </w:p>
    <w:p w:rsidR="003B5EBC" w:rsidRDefault="00A1518B">
      <w:pPr>
        <w:numPr>
          <w:ilvl w:val="0"/>
          <w:numId w:val="29"/>
        </w:numPr>
        <w:spacing w:after="0"/>
        <w:jc w:val="both"/>
        <w:rPr>
          <w:rFonts w:ascii="Garamond" w:hAnsi="Garamond" w:cstheme="majorBidi"/>
          <w:sz w:val="24"/>
          <w:szCs w:val="24"/>
        </w:rPr>
      </w:pPr>
      <w:r>
        <w:rPr>
          <w:rFonts w:ascii="Garamond" w:hAnsi="Garamond" w:cstheme="majorBidi"/>
          <w:sz w:val="24"/>
          <w:szCs w:val="24"/>
        </w:rPr>
        <w:t>Le guide d’utilisation destiné aux autorités compétentes ;</w:t>
      </w:r>
    </w:p>
    <w:p w:rsidR="003B5EBC" w:rsidRDefault="00A1518B">
      <w:pPr>
        <w:numPr>
          <w:ilvl w:val="0"/>
          <w:numId w:val="29"/>
        </w:numPr>
        <w:spacing w:after="0"/>
        <w:jc w:val="both"/>
        <w:rPr>
          <w:rFonts w:ascii="Garamond" w:hAnsi="Garamond" w:cstheme="majorBidi"/>
          <w:sz w:val="24"/>
          <w:szCs w:val="24"/>
        </w:rPr>
      </w:pPr>
      <w:r>
        <w:rPr>
          <w:rFonts w:ascii="Garamond" w:hAnsi="Garamond" w:cstheme="majorBidi"/>
          <w:sz w:val="24"/>
          <w:szCs w:val="24"/>
        </w:rPr>
        <w:t>Le guide d’administration ;</w:t>
      </w:r>
    </w:p>
    <w:p w:rsidR="003B5EBC" w:rsidRDefault="00A1518B">
      <w:pPr>
        <w:numPr>
          <w:ilvl w:val="0"/>
          <w:numId w:val="29"/>
        </w:numPr>
        <w:spacing w:after="0"/>
        <w:jc w:val="both"/>
        <w:rPr>
          <w:rFonts w:ascii="Garamond" w:hAnsi="Garamond" w:cstheme="majorBidi"/>
          <w:sz w:val="24"/>
          <w:szCs w:val="24"/>
        </w:rPr>
      </w:pPr>
      <w:r>
        <w:rPr>
          <w:rFonts w:ascii="Garamond" w:hAnsi="Garamond" w:cstheme="majorBidi"/>
          <w:sz w:val="24"/>
          <w:szCs w:val="24"/>
        </w:rPr>
        <w:t>La documentation technique de maintenance ;</w:t>
      </w:r>
    </w:p>
    <w:p w:rsidR="003B5EBC" w:rsidRDefault="00A1518B">
      <w:pPr>
        <w:numPr>
          <w:ilvl w:val="0"/>
          <w:numId w:val="29"/>
        </w:numPr>
        <w:spacing w:after="0"/>
        <w:jc w:val="both"/>
        <w:rPr>
          <w:rFonts w:ascii="Garamond" w:hAnsi="Garamond" w:cstheme="majorBidi"/>
          <w:sz w:val="24"/>
          <w:szCs w:val="24"/>
        </w:rPr>
      </w:pPr>
      <w:r>
        <w:rPr>
          <w:rFonts w:ascii="Garamond" w:hAnsi="Garamond" w:cstheme="majorBidi"/>
          <w:sz w:val="24"/>
          <w:szCs w:val="24"/>
        </w:rPr>
        <w:t>Les supports de formation ;</w:t>
      </w:r>
    </w:p>
    <w:p w:rsidR="003B5EBC" w:rsidRDefault="00A1518B">
      <w:pPr>
        <w:numPr>
          <w:ilvl w:val="0"/>
          <w:numId w:val="29"/>
        </w:numPr>
        <w:spacing w:after="0"/>
        <w:jc w:val="both"/>
        <w:rPr>
          <w:rFonts w:ascii="Garamond" w:hAnsi="Garamond" w:cstheme="majorBidi"/>
          <w:sz w:val="24"/>
          <w:szCs w:val="24"/>
        </w:rPr>
      </w:pPr>
      <w:r>
        <w:rPr>
          <w:rFonts w:ascii="Garamond" w:hAnsi="Garamond" w:cstheme="majorBidi"/>
          <w:sz w:val="24"/>
          <w:szCs w:val="24"/>
        </w:rPr>
        <w:t>Les rapports des sessions de formation ;</w:t>
      </w:r>
    </w:p>
    <w:p w:rsidR="003B5EBC" w:rsidRDefault="00A1518B">
      <w:pPr>
        <w:numPr>
          <w:ilvl w:val="0"/>
          <w:numId w:val="29"/>
        </w:numPr>
        <w:spacing w:after="0"/>
        <w:jc w:val="both"/>
        <w:rPr>
          <w:rFonts w:ascii="Garamond" w:hAnsi="Garamond" w:cstheme="majorBidi"/>
          <w:sz w:val="24"/>
          <w:szCs w:val="24"/>
        </w:rPr>
      </w:pPr>
      <w:r>
        <w:rPr>
          <w:rFonts w:ascii="Garamond" w:hAnsi="Garamond" w:cstheme="majorBidi"/>
          <w:sz w:val="24"/>
          <w:szCs w:val="24"/>
        </w:rPr>
        <w:t>La preuve du transfert des accès, codes sources, documentation et droits nécessaires ;</w:t>
      </w:r>
    </w:p>
    <w:p w:rsidR="003B5EBC" w:rsidRDefault="00A1518B">
      <w:pPr>
        <w:numPr>
          <w:ilvl w:val="0"/>
          <w:numId w:val="29"/>
        </w:numPr>
        <w:spacing w:after="0"/>
        <w:jc w:val="both"/>
        <w:rPr>
          <w:rFonts w:ascii="Garamond" w:hAnsi="Garamond" w:cstheme="majorBidi"/>
          <w:sz w:val="24"/>
          <w:szCs w:val="24"/>
        </w:rPr>
      </w:pPr>
      <w:r>
        <w:rPr>
          <w:rFonts w:ascii="Garamond" w:hAnsi="Garamond" w:cstheme="majorBidi"/>
          <w:sz w:val="24"/>
          <w:szCs w:val="24"/>
        </w:rPr>
        <w:t>Le plan de maintenance et d’assistance post-déploiement.</w:t>
      </w:r>
    </w:p>
    <w:p w:rsidR="003B5EBC" w:rsidRDefault="003B5EBC">
      <w:pPr>
        <w:tabs>
          <w:tab w:val="left" w:pos="7395"/>
        </w:tabs>
        <w:spacing w:after="0"/>
        <w:jc w:val="both"/>
        <w:rPr>
          <w:rFonts w:ascii="Garamond" w:hAnsi="Garamond"/>
          <w:i/>
          <w:iCs/>
        </w:rPr>
      </w:pPr>
    </w:p>
    <w:p w:rsidR="003B5EBC" w:rsidRDefault="00A1518B">
      <w:pPr>
        <w:tabs>
          <w:tab w:val="left" w:pos="7395"/>
        </w:tabs>
        <w:spacing w:after="0"/>
        <w:jc w:val="both"/>
        <w:rPr>
          <w:rFonts w:ascii="Garamond" w:hAnsi="Garamond"/>
          <w:i/>
          <w:iCs/>
          <w:sz w:val="24"/>
          <w:szCs w:val="24"/>
        </w:rPr>
      </w:pPr>
      <w:r>
        <w:rPr>
          <w:rFonts w:ascii="Garamond" w:hAnsi="Garamond"/>
          <w:i/>
          <w:iCs/>
          <w:sz w:val="24"/>
          <w:szCs w:val="24"/>
        </w:rPr>
        <w:t>Délai indicatif : 175 jours (5,75 mois) après la signature du contrat.</w:t>
      </w:r>
    </w:p>
    <w:p w:rsidR="003B5EBC" w:rsidRDefault="003B5EBC">
      <w:pPr>
        <w:spacing w:after="0"/>
        <w:jc w:val="both"/>
        <w:rPr>
          <w:rFonts w:ascii="Garamond" w:hAnsi="Garamond" w:cstheme="majorBidi"/>
          <w:sz w:val="24"/>
          <w:szCs w:val="24"/>
        </w:rPr>
      </w:pPr>
    </w:p>
    <w:p w:rsidR="003B5EBC" w:rsidRDefault="00A1518B">
      <w:pPr>
        <w:pStyle w:val="Paragraphedeliste"/>
        <w:numPr>
          <w:ilvl w:val="0"/>
          <w:numId w:val="7"/>
        </w:numPr>
        <w:spacing w:after="0"/>
        <w:ind w:left="284" w:hanging="284"/>
        <w:jc w:val="both"/>
        <w:rPr>
          <w:rFonts w:ascii="Garamond" w:hAnsi="Garamond" w:cstheme="majorBidi"/>
          <w:b/>
          <w:bCs/>
          <w:sz w:val="26"/>
          <w:szCs w:val="26"/>
        </w:rPr>
      </w:pPr>
      <w:r>
        <w:rPr>
          <w:rFonts w:ascii="Garamond" w:hAnsi="Garamond" w:cstheme="majorBidi"/>
          <w:b/>
          <w:bCs/>
          <w:sz w:val="26"/>
          <w:szCs w:val="26"/>
        </w:rPr>
        <w:lastRenderedPageBreak/>
        <w:t>Livrable final d’évaluation</w:t>
      </w:r>
    </w:p>
    <w:p w:rsidR="003B5EBC" w:rsidRDefault="003B5EBC">
      <w:pPr>
        <w:pStyle w:val="Paragraphedeliste"/>
        <w:spacing w:after="0"/>
        <w:ind w:left="284"/>
        <w:jc w:val="both"/>
        <w:rPr>
          <w:rFonts w:ascii="Garamond" w:hAnsi="Garamond" w:cstheme="majorBidi"/>
          <w:b/>
          <w:bCs/>
          <w:sz w:val="26"/>
          <w:szCs w:val="26"/>
        </w:rPr>
      </w:pPr>
    </w:p>
    <w:p w:rsidR="003B5EBC" w:rsidRDefault="00A1518B">
      <w:pPr>
        <w:spacing w:after="0"/>
        <w:jc w:val="both"/>
        <w:rPr>
          <w:rFonts w:ascii="Garamond" w:hAnsi="Garamond" w:cstheme="majorBidi"/>
          <w:sz w:val="24"/>
          <w:szCs w:val="24"/>
        </w:rPr>
      </w:pPr>
      <w:r>
        <w:rPr>
          <w:rFonts w:ascii="Garamond" w:hAnsi="Garamond" w:cstheme="majorBidi"/>
          <w:sz w:val="24"/>
          <w:szCs w:val="24"/>
        </w:rPr>
        <w:t>À l’issue de la prestation, le prestataire devra remettre un rapport final d’évaluation permettant de faire le bilan complet de la mission, d’apprécier les résultats atteints et de formuler les recommandations nécessaires pour l’exploitation durable et l’évolution future du système.</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color w:val="1F3864" w:themeColor="accent5" w:themeShade="80"/>
          <w:sz w:val="24"/>
          <w:szCs w:val="24"/>
        </w:rPr>
      </w:pPr>
      <w:r>
        <w:rPr>
          <w:rFonts w:ascii="Garamond" w:hAnsi="Garamond" w:cstheme="majorBidi"/>
          <w:color w:val="1F3864" w:themeColor="accent5" w:themeShade="80"/>
          <w:sz w:val="24"/>
          <w:szCs w:val="24"/>
        </w:rPr>
        <w:t>Livrable final — LF : Rapport final d’évaluation de la prestation</w:t>
      </w:r>
    </w:p>
    <w:p w:rsidR="003B5EBC" w:rsidRDefault="00A1518B">
      <w:pPr>
        <w:spacing w:after="0"/>
        <w:jc w:val="both"/>
        <w:rPr>
          <w:rFonts w:ascii="Garamond" w:hAnsi="Garamond" w:cstheme="majorBidi"/>
          <w:sz w:val="24"/>
          <w:szCs w:val="24"/>
        </w:rPr>
      </w:pPr>
      <w:r>
        <w:rPr>
          <w:rFonts w:ascii="Garamond" w:hAnsi="Garamond" w:cstheme="majorBidi"/>
          <w:sz w:val="24"/>
          <w:szCs w:val="24"/>
        </w:rPr>
        <w:t>Le rapport final devra inclure :</w:t>
      </w:r>
    </w:p>
    <w:p w:rsidR="003B5EBC" w:rsidRDefault="00A1518B">
      <w:pPr>
        <w:numPr>
          <w:ilvl w:val="0"/>
          <w:numId w:val="30"/>
        </w:numPr>
        <w:spacing w:after="0"/>
        <w:jc w:val="both"/>
        <w:rPr>
          <w:rFonts w:ascii="Garamond" w:hAnsi="Garamond" w:cstheme="majorBidi"/>
          <w:sz w:val="24"/>
          <w:szCs w:val="24"/>
        </w:rPr>
      </w:pPr>
      <w:r>
        <w:rPr>
          <w:rFonts w:ascii="Garamond" w:hAnsi="Garamond" w:cstheme="majorBidi"/>
          <w:sz w:val="24"/>
          <w:szCs w:val="24"/>
        </w:rPr>
        <w:t>La synthèse des activités réalisées ;</w:t>
      </w:r>
    </w:p>
    <w:p w:rsidR="003B5EBC" w:rsidRDefault="00A1518B">
      <w:pPr>
        <w:numPr>
          <w:ilvl w:val="0"/>
          <w:numId w:val="30"/>
        </w:numPr>
        <w:spacing w:after="0"/>
        <w:jc w:val="both"/>
        <w:rPr>
          <w:rFonts w:ascii="Garamond" w:hAnsi="Garamond" w:cstheme="majorBidi"/>
          <w:sz w:val="24"/>
          <w:szCs w:val="24"/>
        </w:rPr>
      </w:pPr>
      <w:r>
        <w:rPr>
          <w:rFonts w:ascii="Garamond" w:hAnsi="Garamond" w:cstheme="majorBidi"/>
          <w:sz w:val="24"/>
          <w:szCs w:val="24"/>
        </w:rPr>
        <w:t>Le niveau d’atteinte des objectifs de la prestation ;</w:t>
      </w:r>
    </w:p>
    <w:p w:rsidR="003B5EBC" w:rsidRDefault="00A1518B">
      <w:pPr>
        <w:numPr>
          <w:ilvl w:val="0"/>
          <w:numId w:val="30"/>
        </w:numPr>
        <w:spacing w:after="0"/>
        <w:jc w:val="both"/>
        <w:rPr>
          <w:rFonts w:ascii="Garamond" w:hAnsi="Garamond" w:cstheme="majorBidi"/>
          <w:sz w:val="24"/>
          <w:szCs w:val="24"/>
        </w:rPr>
      </w:pPr>
      <w:r>
        <w:rPr>
          <w:rFonts w:ascii="Garamond" w:hAnsi="Garamond" w:cstheme="majorBidi"/>
          <w:sz w:val="24"/>
          <w:szCs w:val="24"/>
        </w:rPr>
        <w:t>Les livrables produits et validés ;</w:t>
      </w:r>
    </w:p>
    <w:p w:rsidR="003B5EBC" w:rsidRDefault="00A1518B">
      <w:pPr>
        <w:numPr>
          <w:ilvl w:val="0"/>
          <w:numId w:val="30"/>
        </w:numPr>
        <w:spacing w:after="0"/>
        <w:jc w:val="both"/>
        <w:rPr>
          <w:rFonts w:ascii="Garamond" w:hAnsi="Garamond" w:cstheme="majorBidi"/>
          <w:sz w:val="24"/>
          <w:szCs w:val="24"/>
        </w:rPr>
      </w:pPr>
      <w:r>
        <w:rPr>
          <w:rFonts w:ascii="Garamond" w:hAnsi="Garamond" w:cstheme="majorBidi"/>
          <w:sz w:val="24"/>
          <w:szCs w:val="24"/>
        </w:rPr>
        <w:t>Les principales difficultés rencontrées et les solutions apportées ;</w:t>
      </w:r>
    </w:p>
    <w:p w:rsidR="003B5EBC" w:rsidRDefault="00A1518B">
      <w:pPr>
        <w:numPr>
          <w:ilvl w:val="0"/>
          <w:numId w:val="30"/>
        </w:numPr>
        <w:spacing w:after="0"/>
        <w:jc w:val="both"/>
        <w:rPr>
          <w:rFonts w:ascii="Garamond" w:hAnsi="Garamond" w:cstheme="majorBidi"/>
          <w:sz w:val="24"/>
          <w:szCs w:val="24"/>
        </w:rPr>
      </w:pPr>
      <w:r>
        <w:rPr>
          <w:rFonts w:ascii="Garamond" w:hAnsi="Garamond" w:cstheme="majorBidi"/>
          <w:sz w:val="24"/>
          <w:szCs w:val="24"/>
        </w:rPr>
        <w:t>Les résultats des tests, de la mise en ligne et de la prise en main du système ;</w:t>
      </w:r>
    </w:p>
    <w:p w:rsidR="003B5EBC" w:rsidRDefault="00A1518B">
      <w:pPr>
        <w:numPr>
          <w:ilvl w:val="0"/>
          <w:numId w:val="30"/>
        </w:numPr>
        <w:spacing w:after="0"/>
        <w:jc w:val="both"/>
        <w:rPr>
          <w:rFonts w:ascii="Garamond" w:hAnsi="Garamond" w:cstheme="majorBidi"/>
          <w:sz w:val="24"/>
          <w:szCs w:val="24"/>
        </w:rPr>
      </w:pPr>
      <w:r>
        <w:rPr>
          <w:rFonts w:ascii="Garamond" w:hAnsi="Garamond" w:cstheme="majorBidi"/>
          <w:sz w:val="24"/>
          <w:szCs w:val="24"/>
        </w:rPr>
        <w:t>Les appréciations issues des sessions de formation et de transfert de compétences ;</w:t>
      </w:r>
    </w:p>
    <w:p w:rsidR="003B5EBC" w:rsidRDefault="00A1518B">
      <w:pPr>
        <w:numPr>
          <w:ilvl w:val="0"/>
          <w:numId w:val="30"/>
        </w:numPr>
        <w:spacing w:after="0"/>
        <w:jc w:val="both"/>
        <w:rPr>
          <w:rFonts w:ascii="Garamond" w:hAnsi="Garamond" w:cstheme="majorBidi"/>
          <w:sz w:val="24"/>
          <w:szCs w:val="24"/>
        </w:rPr>
      </w:pPr>
      <w:r>
        <w:rPr>
          <w:rFonts w:ascii="Garamond" w:hAnsi="Garamond" w:cstheme="majorBidi"/>
          <w:sz w:val="24"/>
          <w:szCs w:val="24"/>
        </w:rPr>
        <w:t>Les recommandations pour l’exploitation, la maintenance, la sécurisation et l’évolution du système ;</w:t>
      </w:r>
    </w:p>
    <w:p w:rsidR="003B5EBC" w:rsidRDefault="00A1518B">
      <w:pPr>
        <w:numPr>
          <w:ilvl w:val="0"/>
          <w:numId w:val="30"/>
        </w:numPr>
        <w:spacing w:after="0"/>
        <w:jc w:val="both"/>
        <w:rPr>
          <w:rFonts w:ascii="Garamond" w:hAnsi="Garamond" w:cstheme="majorBidi"/>
          <w:sz w:val="24"/>
          <w:szCs w:val="24"/>
        </w:rPr>
      </w:pPr>
      <w:r>
        <w:rPr>
          <w:rFonts w:ascii="Garamond" w:hAnsi="Garamond" w:cstheme="majorBidi"/>
          <w:sz w:val="24"/>
          <w:szCs w:val="24"/>
        </w:rPr>
        <w:t>Les recommandations pour l’appropriation institutionnelle durable de la plateforme ;</w:t>
      </w:r>
    </w:p>
    <w:p w:rsidR="003B5EBC" w:rsidRDefault="00A1518B">
      <w:pPr>
        <w:numPr>
          <w:ilvl w:val="0"/>
          <w:numId w:val="30"/>
        </w:numPr>
        <w:spacing w:after="0"/>
        <w:jc w:val="both"/>
        <w:rPr>
          <w:rFonts w:ascii="Garamond" w:hAnsi="Garamond" w:cstheme="majorBidi"/>
          <w:sz w:val="24"/>
          <w:szCs w:val="24"/>
        </w:rPr>
      </w:pPr>
      <w:r>
        <w:rPr>
          <w:rFonts w:ascii="Garamond" w:hAnsi="Garamond" w:cstheme="majorBidi"/>
          <w:sz w:val="24"/>
          <w:szCs w:val="24"/>
        </w:rPr>
        <w:t>Les éventuelles actions complémentaires à prévoir après la fin de la prestation.</w:t>
      </w:r>
    </w:p>
    <w:p w:rsidR="003B5EBC" w:rsidRDefault="003B5EBC">
      <w:pPr>
        <w:spacing w:after="0"/>
        <w:jc w:val="both"/>
        <w:rPr>
          <w:rFonts w:ascii="Garamond" w:hAnsi="Garamond" w:cstheme="majorBidi"/>
          <w:sz w:val="24"/>
          <w:szCs w:val="24"/>
        </w:rPr>
      </w:pPr>
    </w:p>
    <w:p w:rsidR="003B5EBC" w:rsidRDefault="00A1518B">
      <w:pPr>
        <w:spacing w:after="0"/>
        <w:jc w:val="both"/>
        <w:rPr>
          <w:rFonts w:ascii="Garamond" w:hAnsi="Garamond" w:cstheme="majorBidi"/>
          <w:i/>
          <w:iCs/>
          <w:sz w:val="24"/>
          <w:szCs w:val="24"/>
        </w:rPr>
      </w:pPr>
      <w:r>
        <w:rPr>
          <w:rFonts w:ascii="Garamond" w:hAnsi="Garamond" w:cstheme="majorBidi"/>
          <w:i/>
          <w:iCs/>
          <w:sz w:val="24"/>
          <w:szCs w:val="24"/>
        </w:rPr>
        <w:t>Délai indicatif : 180 jours (6mois) après la signature du contrat.</w:t>
      </w:r>
    </w:p>
    <w:p w:rsidR="003B5EBC" w:rsidRDefault="003B5EBC">
      <w:pPr>
        <w:spacing w:before="120" w:after="120"/>
        <w:jc w:val="both"/>
        <w:rPr>
          <w:rFonts w:ascii="Calisto MT" w:hAnsi="Calisto MT" w:cstheme="majorHAnsi"/>
          <w:b/>
          <w:bCs/>
          <w:sz w:val="24"/>
          <w:szCs w:val="24"/>
          <w:u w:val="single"/>
          <w:lang w:val="fr-FR"/>
        </w:rPr>
      </w:pPr>
    </w:p>
    <w:p w:rsidR="003B5EBC" w:rsidRDefault="00A1518B">
      <w:pPr>
        <w:pStyle w:val="Paragraphedeliste"/>
        <w:numPr>
          <w:ilvl w:val="0"/>
          <w:numId w:val="5"/>
        </w:numPr>
        <w:ind w:left="567" w:hanging="207"/>
        <w:jc w:val="both"/>
        <w:rPr>
          <w:rFonts w:ascii="Garamond" w:hAnsi="Garamond" w:cstheme="majorBidi"/>
          <w:b/>
          <w:bCs/>
          <w:sz w:val="28"/>
          <w:szCs w:val="28"/>
          <w:u w:val="single"/>
        </w:rPr>
      </w:pPr>
      <w:r>
        <w:rPr>
          <w:rFonts w:ascii="Garamond" w:hAnsi="Garamond" w:cstheme="majorBidi"/>
          <w:b/>
          <w:bCs/>
          <w:sz w:val="28"/>
          <w:szCs w:val="28"/>
          <w:u w:val="single"/>
        </w:rPr>
        <w:t>Les livrables à fournir par le prestataire :</w:t>
      </w:r>
    </w:p>
    <w:p w:rsidR="003B5EBC" w:rsidRDefault="003B5EBC">
      <w:pPr>
        <w:spacing w:after="0" w:line="240" w:lineRule="auto"/>
        <w:rPr>
          <w:rFonts w:ascii="Calisto MT" w:eastAsia="Times New Roman" w:hAnsi="Calisto MT" w:cs="Times New Roman"/>
          <w:b/>
          <w:bCs/>
          <w:sz w:val="24"/>
          <w:szCs w:val="24"/>
          <w:u w:val="single"/>
          <w:lang w:eastAsia="zh-CN"/>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1"/>
        <w:gridCol w:w="7258"/>
        <w:gridCol w:w="1843"/>
      </w:tblGrid>
      <w:tr w:rsidR="003B5EBC">
        <w:trPr>
          <w:tblHeader/>
        </w:trPr>
        <w:tc>
          <w:tcPr>
            <w:tcW w:w="821" w:type="dxa"/>
            <w:tcBorders>
              <w:top w:val="single" w:sz="0" w:space="0" w:color="CCCCCC"/>
              <w:left w:val="single" w:sz="0" w:space="0" w:color="CCCCCC"/>
              <w:bottom w:val="single" w:sz="0" w:space="0" w:color="CCCCCC"/>
              <w:right w:val="single" w:sz="0" w:space="0" w:color="CCCCCC"/>
            </w:tcBorders>
            <w:shd w:val="clear" w:color="auto" w:fill="1F4E79"/>
            <w:tcMar>
              <w:top w:w="80" w:type="dxa"/>
              <w:left w:w="120" w:type="dxa"/>
              <w:bottom w:w="80" w:type="dxa"/>
              <w:right w:w="120" w:type="dxa"/>
            </w:tcMar>
            <w:vAlign w:val="center"/>
          </w:tcPr>
          <w:p w:rsidR="003B5EBC" w:rsidRDefault="00A1518B">
            <w:pPr>
              <w:spacing w:after="0" w:line="240" w:lineRule="auto"/>
              <w:jc w:val="center"/>
              <w:rPr>
                <w:rFonts w:ascii="Garamond" w:eastAsia="Times New Roman" w:hAnsi="Garamond" w:cstheme="majorBidi"/>
                <w:b/>
                <w:bCs/>
                <w:color w:val="FFFFFF" w:themeColor="background1"/>
                <w:sz w:val="24"/>
                <w:szCs w:val="24"/>
                <w:lang w:val="en-US" w:eastAsia="zh-CN"/>
              </w:rPr>
            </w:pPr>
            <w:r>
              <w:rPr>
                <w:rFonts w:ascii="Garamond" w:eastAsia="Times New Roman" w:hAnsi="Garamond" w:cstheme="majorBidi"/>
                <w:b/>
                <w:bCs/>
                <w:color w:val="FFFFFF" w:themeColor="background1"/>
                <w:sz w:val="24"/>
                <w:szCs w:val="24"/>
                <w:lang w:val="en-US" w:eastAsia="zh-CN"/>
              </w:rPr>
              <w:t>N°</w:t>
            </w:r>
          </w:p>
        </w:tc>
        <w:tc>
          <w:tcPr>
            <w:tcW w:w="7258" w:type="dxa"/>
            <w:tcBorders>
              <w:top w:val="single" w:sz="0" w:space="0" w:color="CCCCCC"/>
              <w:left w:val="single" w:sz="0" w:space="0" w:color="CCCCCC"/>
              <w:bottom w:val="single" w:sz="0" w:space="0" w:color="CCCCCC"/>
              <w:right w:val="single" w:sz="0" w:space="0" w:color="CCCCCC"/>
            </w:tcBorders>
            <w:shd w:val="clear" w:color="auto" w:fill="1F4E79"/>
            <w:tcMar>
              <w:top w:w="80" w:type="dxa"/>
              <w:left w:w="120" w:type="dxa"/>
              <w:bottom w:w="80" w:type="dxa"/>
              <w:right w:w="120" w:type="dxa"/>
            </w:tcMar>
            <w:vAlign w:val="center"/>
          </w:tcPr>
          <w:p w:rsidR="003B5EBC" w:rsidRDefault="00A1518B">
            <w:pPr>
              <w:spacing w:after="0" w:line="240" w:lineRule="auto"/>
              <w:jc w:val="center"/>
              <w:rPr>
                <w:rFonts w:ascii="Garamond" w:eastAsia="Times New Roman" w:hAnsi="Garamond" w:cstheme="majorBidi"/>
                <w:b/>
                <w:bCs/>
                <w:color w:val="FFFFFF" w:themeColor="background1"/>
                <w:sz w:val="24"/>
                <w:szCs w:val="24"/>
                <w:lang w:val="en-US" w:eastAsia="zh-CN"/>
              </w:rPr>
            </w:pPr>
            <w:r>
              <w:rPr>
                <w:rFonts w:ascii="Garamond" w:eastAsia="Times New Roman" w:hAnsi="Garamond" w:cstheme="majorBidi"/>
                <w:b/>
                <w:bCs/>
                <w:color w:val="FFFFFF" w:themeColor="background1"/>
                <w:sz w:val="24"/>
                <w:szCs w:val="24"/>
                <w:lang w:val="en-US" w:eastAsia="zh-CN"/>
              </w:rPr>
              <w:t>Livrable</w:t>
            </w:r>
          </w:p>
        </w:tc>
        <w:tc>
          <w:tcPr>
            <w:tcW w:w="1843" w:type="dxa"/>
            <w:tcBorders>
              <w:top w:val="single" w:sz="0" w:space="0" w:color="CCCCCC"/>
              <w:left w:val="single" w:sz="0" w:space="0" w:color="CCCCCC"/>
              <w:bottom w:val="single" w:sz="0" w:space="0" w:color="CCCCCC"/>
              <w:right w:val="single" w:sz="0" w:space="0" w:color="CCCCCC"/>
            </w:tcBorders>
            <w:shd w:val="clear" w:color="auto" w:fill="1F4E79"/>
            <w:tcMar>
              <w:top w:w="80" w:type="dxa"/>
              <w:left w:w="120" w:type="dxa"/>
              <w:bottom w:w="80" w:type="dxa"/>
              <w:right w:w="120" w:type="dxa"/>
            </w:tcMar>
            <w:vAlign w:val="center"/>
          </w:tcPr>
          <w:p w:rsidR="003B5EBC" w:rsidRPr="00160BAC" w:rsidRDefault="00A1518B">
            <w:pPr>
              <w:spacing w:after="0" w:line="240" w:lineRule="auto"/>
              <w:jc w:val="center"/>
              <w:rPr>
                <w:rFonts w:ascii="Garamond" w:eastAsia="Times New Roman" w:hAnsi="Garamond" w:cstheme="majorBidi"/>
                <w:b/>
                <w:bCs/>
                <w:color w:val="FFFFFF" w:themeColor="background1"/>
                <w:sz w:val="24"/>
                <w:szCs w:val="24"/>
                <w:lang w:val="fr-FR" w:eastAsia="zh-CN"/>
              </w:rPr>
            </w:pPr>
            <w:r w:rsidRPr="00160BAC">
              <w:rPr>
                <w:rFonts w:ascii="Garamond" w:eastAsia="Times New Roman" w:hAnsi="Garamond" w:cstheme="majorBidi"/>
                <w:b/>
                <w:bCs/>
                <w:color w:val="FFFFFF" w:themeColor="background1"/>
                <w:sz w:val="24"/>
                <w:szCs w:val="24"/>
                <w:lang w:val="fr-FR" w:eastAsia="zh-CN"/>
              </w:rPr>
              <w:t>Délai de remise</w:t>
            </w:r>
          </w:p>
          <w:p w:rsidR="003B5EBC" w:rsidRPr="00160BAC" w:rsidRDefault="00A1518B">
            <w:pPr>
              <w:spacing w:after="0" w:line="240" w:lineRule="auto"/>
              <w:jc w:val="center"/>
              <w:rPr>
                <w:rFonts w:ascii="Garamond" w:eastAsia="Times New Roman" w:hAnsi="Garamond" w:cstheme="majorBidi"/>
                <w:b/>
                <w:bCs/>
                <w:color w:val="FFFFFF" w:themeColor="background1"/>
                <w:sz w:val="24"/>
                <w:szCs w:val="24"/>
                <w:lang w:val="fr-FR" w:eastAsia="zh-CN"/>
              </w:rPr>
            </w:pPr>
            <w:r>
              <w:rPr>
                <w:rFonts w:ascii="Garamond" w:eastAsia="Times New Roman" w:hAnsi="Garamond" w:cstheme="majorBidi"/>
                <w:b/>
                <w:bCs/>
                <w:color w:val="FFFFFF" w:themeColor="background1"/>
                <w:sz w:val="24"/>
                <w:szCs w:val="24"/>
                <w:lang w:eastAsia="zh-CN"/>
              </w:rPr>
              <w:t>après signature du contrat</w:t>
            </w:r>
          </w:p>
        </w:tc>
      </w:tr>
      <w:tr w:rsidR="003B5EBC">
        <w:tc>
          <w:tcPr>
            <w:tcW w:w="9922" w:type="dxa"/>
            <w:gridSpan w:val="3"/>
            <w:tcBorders>
              <w:top w:val="single" w:sz="0" w:space="0" w:color="CCCCCC"/>
              <w:left w:val="single" w:sz="0" w:space="0" w:color="CCCCCC"/>
              <w:bottom w:val="single" w:sz="0" w:space="0" w:color="CCCCCC"/>
              <w:right w:val="single" w:sz="0" w:space="0" w:color="CCCCCC"/>
            </w:tcBorders>
            <w:shd w:val="clear" w:color="auto" w:fill="1F4E79"/>
            <w:tcMar>
              <w:top w:w="80" w:type="dxa"/>
              <w:left w:w="120" w:type="dxa"/>
              <w:bottom w:w="80" w:type="dxa"/>
              <w:right w:w="120" w:type="dxa"/>
            </w:tcMar>
          </w:tcPr>
          <w:p w:rsidR="003B5EBC" w:rsidRDefault="00A1518B">
            <w:pPr>
              <w:spacing w:after="0" w:line="240" w:lineRule="auto"/>
              <w:jc w:val="center"/>
              <w:rPr>
                <w:rFonts w:ascii="Garamond" w:eastAsia="Times New Roman" w:hAnsi="Garamond" w:cstheme="majorBidi"/>
                <w:sz w:val="24"/>
                <w:szCs w:val="24"/>
                <w:lang w:val="en-US" w:eastAsia="zh-CN"/>
              </w:rPr>
            </w:pPr>
            <w:r>
              <w:rPr>
                <w:rFonts w:ascii="Garamond" w:eastAsia="Times New Roman" w:hAnsi="Garamond" w:cstheme="majorBidi"/>
                <w:color w:val="FFFFFF" w:themeColor="background1"/>
                <w:sz w:val="24"/>
                <w:szCs w:val="24"/>
                <w:lang w:val="en-US" w:eastAsia="zh-CN"/>
              </w:rPr>
              <w:t>Livrable 0 — Transversal</w:t>
            </w:r>
          </w:p>
        </w:tc>
      </w:tr>
      <w:tr w:rsidR="003B5EBC">
        <w:tc>
          <w:tcPr>
            <w:tcW w:w="821"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en-US" w:eastAsia="zh-CN"/>
              </w:rPr>
            </w:pPr>
            <w:r>
              <w:rPr>
                <w:rFonts w:ascii="Garamond" w:eastAsia="Times New Roman" w:hAnsi="Garamond" w:cstheme="majorBidi"/>
                <w:b/>
                <w:bCs/>
                <w:sz w:val="24"/>
                <w:szCs w:val="24"/>
                <w:lang w:val="en-US" w:eastAsia="zh-CN"/>
              </w:rPr>
              <w:t>L0.1</w:t>
            </w:r>
          </w:p>
        </w:tc>
        <w:tc>
          <w:tcPr>
            <w:tcW w:w="7258"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tcPr>
          <w:p w:rsidR="003B5EBC" w:rsidRDefault="00A1518B">
            <w:pPr>
              <w:spacing w:after="0" w:line="240" w:lineRule="auto"/>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Note méthodologique et plan de mise en œuvre de la prestation</w:t>
            </w:r>
          </w:p>
        </w:tc>
        <w:tc>
          <w:tcPr>
            <w:tcW w:w="1843"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tcPr>
          <w:p w:rsidR="003B5EBC" w:rsidRDefault="00A1518B">
            <w:pPr>
              <w:spacing w:after="0" w:line="240" w:lineRule="auto"/>
              <w:jc w:val="center"/>
              <w:rPr>
                <w:rFonts w:ascii="Garamond" w:eastAsia="Times New Roman" w:hAnsi="Garamond" w:cstheme="majorBidi"/>
                <w:b/>
                <w:bCs/>
                <w:sz w:val="24"/>
                <w:szCs w:val="24"/>
                <w:lang w:eastAsia="zh-CN"/>
              </w:rPr>
            </w:pPr>
            <w:r>
              <w:rPr>
                <w:rFonts w:ascii="Garamond" w:eastAsia="Times New Roman" w:hAnsi="Garamond" w:cstheme="majorBidi"/>
                <w:b/>
                <w:bCs/>
                <w:sz w:val="24"/>
                <w:szCs w:val="24"/>
                <w:lang w:eastAsia="zh-CN"/>
              </w:rPr>
              <w:t xml:space="preserve">15 jours </w:t>
            </w:r>
          </w:p>
          <w:p w:rsidR="003B5EBC" w:rsidRDefault="00A1518B">
            <w:pPr>
              <w:spacing w:after="0" w:line="240" w:lineRule="auto"/>
              <w:jc w:val="center"/>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(0,5 mois)</w:t>
            </w:r>
          </w:p>
        </w:tc>
      </w:tr>
      <w:tr w:rsidR="003B5EBC">
        <w:tc>
          <w:tcPr>
            <w:tcW w:w="9922" w:type="dxa"/>
            <w:gridSpan w:val="3"/>
            <w:tcBorders>
              <w:top w:val="single" w:sz="0" w:space="0" w:color="CCCCCC"/>
              <w:left w:val="single" w:sz="0" w:space="0" w:color="CCCCCC"/>
              <w:bottom w:val="single" w:sz="0" w:space="0" w:color="CCCCCC"/>
              <w:right w:val="single" w:sz="0" w:space="0" w:color="CCCCCC"/>
            </w:tcBorders>
            <w:shd w:val="clear" w:color="auto" w:fill="FFC000"/>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fr-FR" w:eastAsia="zh-CN"/>
              </w:rPr>
            </w:pPr>
            <w:r>
              <w:rPr>
                <w:rFonts w:ascii="Garamond" w:eastAsia="Times New Roman" w:hAnsi="Garamond" w:cstheme="majorBidi"/>
                <w:b/>
                <w:bCs/>
                <w:sz w:val="24"/>
                <w:szCs w:val="24"/>
                <w:lang w:val="fr-FR" w:eastAsia="zh-CN"/>
              </w:rPr>
              <w:t>Mission 1 —</w:t>
            </w:r>
            <w:r>
              <w:rPr>
                <w:rFonts w:ascii="Garamond" w:eastAsia="Times New Roman" w:hAnsi="Garamond" w:cstheme="majorBidi"/>
                <w:b/>
                <w:bCs/>
                <w:sz w:val="24"/>
                <w:szCs w:val="24"/>
                <w:lang w:eastAsia="zh-CN"/>
              </w:rPr>
              <w:t>Analyse juridique, institutionnelle et comparative du système de permis APA</w:t>
            </w:r>
          </w:p>
        </w:tc>
      </w:tr>
      <w:tr w:rsidR="003B5EBC">
        <w:tc>
          <w:tcPr>
            <w:tcW w:w="821"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en-US" w:eastAsia="zh-CN"/>
              </w:rPr>
            </w:pPr>
            <w:r>
              <w:rPr>
                <w:rFonts w:ascii="Garamond" w:eastAsia="Times New Roman" w:hAnsi="Garamond" w:cstheme="majorBidi"/>
                <w:b/>
                <w:bCs/>
                <w:sz w:val="24"/>
                <w:szCs w:val="24"/>
                <w:lang w:val="en-US" w:eastAsia="zh-CN"/>
              </w:rPr>
              <w:t>L1.1</w:t>
            </w:r>
          </w:p>
        </w:tc>
        <w:tc>
          <w:tcPr>
            <w:tcW w:w="725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jc w:val="both"/>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 xml:space="preserve">Note d’analyse juridique et réglementaire incluant la décortication du </w:t>
            </w:r>
            <w:hyperlink r:id="rId20" w:history="1">
              <w:r>
                <w:rPr>
                  <w:rStyle w:val="Lienhypertexte"/>
                  <w:rFonts w:ascii="Garamond" w:hAnsi="Garamond"/>
                  <w:sz w:val="24"/>
                  <w:szCs w:val="24"/>
                </w:rPr>
                <w:t>Cadre r</w:t>
              </w:r>
              <w:r>
                <w:rPr>
                  <w:rStyle w:val="Lienhypertexte"/>
                  <w:rFonts w:ascii="Garamond" w:eastAsia="Malgun Gothic" w:hAnsi="Garamond" w:cs="Malgun Gothic"/>
                  <w:sz w:val="24"/>
                  <w:szCs w:val="24"/>
                </w:rPr>
                <w:t>é</w:t>
              </w:r>
              <w:r>
                <w:rPr>
                  <w:rStyle w:val="Lienhypertexte"/>
                  <w:rFonts w:ascii="Garamond" w:hAnsi="Garamond"/>
                  <w:sz w:val="24"/>
                  <w:szCs w:val="24"/>
                </w:rPr>
                <w:t>glementaire national de l'APA</w:t>
              </w:r>
            </w:hyperlink>
            <w:r>
              <w:rPr>
                <w:rFonts w:ascii="Garamond" w:hAnsi="Garamond"/>
                <w:sz w:val="24"/>
                <w:szCs w:val="24"/>
              </w:rPr>
              <w:t xml:space="preserve"> </w:t>
            </w:r>
            <w:r>
              <w:rPr>
                <w:rFonts w:ascii="Garamond" w:eastAsia="Times New Roman" w:hAnsi="Garamond" w:cstheme="majorBidi"/>
                <w:sz w:val="24"/>
                <w:szCs w:val="24"/>
                <w:lang w:eastAsia="zh-CN"/>
              </w:rPr>
              <w:t>relatif à l’accès aux ressources génétiques et ses implications opérationnelles pour le système électronique APA.</w:t>
            </w:r>
          </w:p>
        </w:tc>
        <w:tc>
          <w:tcPr>
            <w:tcW w:w="1843"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vAlign w:val="center"/>
          </w:tcPr>
          <w:p w:rsidR="003B5EBC" w:rsidRDefault="00A1518B">
            <w:pPr>
              <w:spacing w:after="0" w:line="240" w:lineRule="auto"/>
              <w:jc w:val="center"/>
              <w:rPr>
                <w:rFonts w:ascii="Garamond" w:eastAsia="Times New Roman" w:hAnsi="Garamond" w:cstheme="majorBidi"/>
                <w:b/>
                <w:bCs/>
                <w:sz w:val="24"/>
                <w:szCs w:val="24"/>
                <w:lang w:eastAsia="zh-CN"/>
              </w:rPr>
            </w:pPr>
            <w:r>
              <w:rPr>
                <w:rFonts w:ascii="Garamond" w:eastAsia="Times New Roman" w:hAnsi="Garamond" w:cstheme="majorBidi"/>
                <w:b/>
                <w:bCs/>
                <w:sz w:val="24"/>
                <w:szCs w:val="24"/>
                <w:lang w:eastAsia="zh-CN"/>
              </w:rPr>
              <w:t xml:space="preserve">45 jours </w:t>
            </w:r>
          </w:p>
          <w:p w:rsidR="003B5EBC" w:rsidRDefault="00A1518B">
            <w:pPr>
              <w:spacing w:after="0" w:line="240" w:lineRule="auto"/>
              <w:jc w:val="center"/>
              <w:rPr>
                <w:rFonts w:ascii="Garamond" w:eastAsia="Times New Roman" w:hAnsi="Garamond" w:cstheme="majorBidi"/>
                <w:sz w:val="24"/>
                <w:szCs w:val="24"/>
                <w:lang w:val="en-US" w:eastAsia="zh-CN"/>
              </w:rPr>
            </w:pPr>
            <w:r>
              <w:rPr>
                <w:rFonts w:ascii="Garamond" w:eastAsia="Times New Roman" w:hAnsi="Garamond" w:cstheme="majorBidi"/>
                <w:sz w:val="24"/>
                <w:szCs w:val="24"/>
                <w:lang w:eastAsia="zh-CN"/>
              </w:rPr>
              <w:t>(1,5 mois)</w:t>
            </w:r>
          </w:p>
        </w:tc>
      </w:tr>
      <w:tr w:rsidR="003B5EBC">
        <w:tc>
          <w:tcPr>
            <w:tcW w:w="821"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en-US" w:eastAsia="zh-CN"/>
              </w:rPr>
            </w:pPr>
            <w:r>
              <w:rPr>
                <w:rFonts w:ascii="Garamond" w:eastAsia="Times New Roman" w:hAnsi="Garamond" w:cstheme="majorBidi"/>
                <w:b/>
                <w:bCs/>
                <w:sz w:val="24"/>
                <w:szCs w:val="24"/>
                <w:lang w:val="en-US" w:eastAsia="zh-CN"/>
              </w:rPr>
              <w:t>L1.2</w:t>
            </w:r>
          </w:p>
        </w:tc>
        <w:tc>
          <w:tcPr>
            <w:tcW w:w="725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jc w:val="both"/>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Rapport de cartographie des procédures existantes d’accès aux ressources génétiques et d’analyse de la gouvernance institutionnelle.</w:t>
            </w:r>
          </w:p>
        </w:tc>
        <w:tc>
          <w:tcPr>
            <w:tcW w:w="1843"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vAlign w:val="center"/>
          </w:tcPr>
          <w:p w:rsidR="003B5EBC" w:rsidRDefault="00A1518B">
            <w:pPr>
              <w:spacing w:after="0" w:line="240" w:lineRule="auto"/>
              <w:jc w:val="center"/>
              <w:rPr>
                <w:rFonts w:ascii="Garamond" w:eastAsia="Times New Roman" w:hAnsi="Garamond" w:cstheme="majorBidi"/>
                <w:b/>
                <w:bCs/>
                <w:sz w:val="24"/>
                <w:szCs w:val="24"/>
                <w:lang w:eastAsia="zh-CN"/>
              </w:rPr>
            </w:pPr>
            <w:r>
              <w:rPr>
                <w:rFonts w:ascii="Garamond" w:eastAsia="Times New Roman" w:hAnsi="Garamond" w:cstheme="majorBidi"/>
                <w:b/>
                <w:bCs/>
                <w:sz w:val="24"/>
                <w:szCs w:val="24"/>
                <w:lang w:eastAsia="zh-CN"/>
              </w:rPr>
              <w:t xml:space="preserve">60 jours </w:t>
            </w:r>
          </w:p>
          <w:p w:rsidR="003B5EBC" w:rsidRDefault="00A1518B">
            <w:pPr>
              <w:spacing w:after="0" w:line="240" w:lineRule="auto"/>
              <w:jc w:val="center"/>
              <w:rPr>
                <w:rFonts w:ascii="Garamond" w:eastAsia="Times New Roman" w:hAnsi="Garamond" w:cstheme="majorBidi"/>
                <w:sz w:val="24"/>
                <w:szCs w:val="24"/>
                <w:lang w:val="en-US" w:eastAsia="zh-CN"/>
              </w:rPr>
            </w:pPr>
            <w:r>
              <w:rPr>
                <w:rFonts w:ascii="Garamond" w:eastAsia="Times New Roman" w:hAnsi="Garamond" w:cstheme="majorBidi"/>
                <w:sz w:val="24"/>
                <w:szCs w:val="24"/>
                <w:lang w:eastAsia="zh-CN"/>
              </w:rPr>
              <w:t>(2 mois)</w:t>
            </w:r>
          </w:p>
        </w:tc>
      </w:tr>
      <w:tr w:rsidR="003B5EBC">
        <w:tc>
          <w:tcPr>
            <w:tcW w:w="821"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en-US" w:eastAsia="zh-CN"/>
              </w:rPr>
            </w:pPr>
            <w:r>
              <w:rPr>
                <w:rFonts w:ascii="Garamond" w:eastAsia="Times New Roman" w:hAnsi="Garamond" w:cstheme="majorBidi"/>
                <w:b/>
                <w:bCs/>
                <w:sz w:val="24"/>
                <w:szCs w:val="24"/>
                <w:lang w:val="en-US" w:eastAsia="zh-CN"/>
              </w:rPr>
              <w:lastRenderedPageBreak/>
              <w:t>L1.3</w:t>
            </w:r>
          </w:p>
        </w:tc>
        <w:tc>
          <w:tcPr>
            <w:tcW w:w="725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jc w:val="both"/>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Rapport de benchmark national et international des systèmes électroniques de permis APA, guichets uniques et plateformes interconnectées, incluant une analyse approfondie de l’expérience camerounaise.</w:t>
            </w:r>
          </w:p>
        </w:tc>
        <w:tc>
          <w:tcPr>
            <w:tcW w:w="1843"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vAlign w:val="center"/>
          </w:tcPr>
          <w:p w:rsidR="003B5EBC" w:rsidRDefault="00A1518B">
            <w:pPr>
              <w:spacing w:after="0" w:line="240" w:lineRule="auto"/>
              <w:jc w:val="center"/>
              <w:rPr>
                <w:rFonts w:ascii="Garamond" w:eastAsia="Times New Roman" w:hAnsi="Garamond" w:cstheme="majorBidi"/>
                <w:b/>
                <w:bCs/>
                <w:sz w:val="24"/>
                <w:szCs w:val="24"/>
                <w:lang w:eastAsia="zh-CN"/>
              </w:rPr>
            </w:pPr>
            <w:r>
              <w:rPr>
                <w:rFonts w:ascii="Garamond" w:eastAsia="Times New Roman" w:hAnsi="Garamond" w:cstheme="majorBidi"/>
                <w:b/>
                <w:bCs/>
                <w:sz w:val="24"/>
                <w:szCs w:val="24"/>
                <w:lang w:eastAsia="zh-CN"/>
              </w:rPr>
              <w:t xml:space="preserve">75 jours </w:t>
            </w:r>
          </w:p>
          <w:p w:rsidR="003B5EBC" w:rsidRDefault="00A1518B">
            <w:pPr>
              <w:spacing w:after="0" w:line="240" w:lineRule="auto"/>
              <w:jc w:val="center"/>
              <w:rPr>
                <w:rFonts w:ascii="Garamond" w:eastAsia="Times New Roman" w:hAnsi="Garamond" w:cstheme="majorBidi"/>
                <w:sz w:val="24"/>
                <w:szCs w:val="24"/>
                <w:lang w:val="en-US" w:eastAsia="zh-CN"/>
              </w:rPr>
            </w:pPr>
            <w:r>
              <w:rPr>
                <w:rFonts w:ascii="Garamond" w:eastAsia="Times New Roman" w:hAnsi="Garamond" w:cstheme="majorBidi"/>
                <w:sz w:val="24"/>
                <w:szCs w:val="24"/>
                <w:lang w:eastAsia="zh-CN"/>
              </w:rPr>
              <w:t>(2,5 mois)</w:t>
            </w:r>
          </w:p>
        </w:tc>
      </w:tr>
      <w:tr w:rsidR="003B5EBC">
        <w:tc>
          <w:tcPr>
            <w:tcW w:w="9922" w:type="dxa"/>
            <w:gridSpan w:val="3"/>
            <w:tcBorders>
              <w:top w:val="single" w:sz="0" w:space="0" w:color="CCCCCC"/>
              <w:left w:val="single" w:sz="0" w:space="0" w:color="CCCCCC"/>
              <w:bottom w:val="single" w:sz="0" w:space="0" w:color="CCCCCC"/>
              <w:right w:val="single" w:sz="0" w:space="0" w:color="CCCCCC"/>
            </w:tcBorders>
            <w:shd w:val="clear" w:color="auto" w:fill="FFC000"/>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fr-FR" w:eastAsia="zh-CN"/>
              </w:rPr>
            </w:pPr>
            <w:r>
              <w:rPr>
                <w:rFonts w:ascii="Garamond" w:eastAsia="Times New Roman" w:hAnsi="Garamond" w:cstheme="majorBidi"/>
                <w:b/>
                <w:bCs/>
                <w:sz w:val="24"/>
                <w:szCs w:val="24"/>
                <w:lang w:val="fr-FR" w:eastAsia="zh-CN"/>
              </w:rPr>
              <w:t xml:space="preserve">Mission 2 — </w:t>
            </w:r>
            <w:r w:rsidR="00E91CFB">
              <w:rPr>
                <w:rFonts w:ascii="Garamond" w:eastAsia="Times New Roman" w:hAnsi="Garamond" w:cstheme="majorBidi"/>
                <w:b/>
                <w:bCs/>
                <w:sz w:val="24"/>
                <w:szCs w:val="24"/>
                <w:lang w:val="fr-FR" w:eastAsia="zh-CN"/>
              </w:rPr>
              <w:t>Cadrage et c</w:t>
            </w:r>
            <w:r>
              <w:rPr>
                <w:rFonts w:ascii="Garamond" w:eastAsia="Times New Roman" w:hAnsi="Garamond" w:cstheme="majorBidi"/>
                <w:b/>
                <w:bCs/>
                <w:sz w:val="24"/>
                <w:szCs w:val="24"/>
                <w:lang w:eastAsia="zh-CN"/>
              </w:rPr>
              <w:t>onception fonctionnelle, technique et réglementaire du système électronique APA</w:t>
            </w:r>
          </w:p>
        </w:tc>
      </w:tr>
      <w:tr w:rsidR="003B5EBC">
        <w:tc>
          <w:tcPr>
            <w:tcW w:w="821"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en-US" w:eastAsia="zh-CN"/>
              </w:rPr>
            </w:pPr>
            <w:r>
              <w:rPr>
                <w:rFonts w:ascii="Garamond" w:eastAsia="Times New Roman" w:hAnsi="Garamond" w:cstheme="majorBidi"/>
                <w:b/>
                <w:bCs/>
                <w:sz w:val="24"/>
                <w:szCs w:val="24"/>
                <w:lang w:val="en-US" w:eastAsia="zh-CN"/>
              </w:rPr>
              <w:t>L2.1</w:t>
            </w:r>
          </w:p>
        </w:tc>
        <w:tc>
          <w:tcPr>
            <w:tcW w:w="725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jc w:val="both"/>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Cahier des charges fonctionnel et technique du système électronique de demande de permis APA.</w:t>
            </w:r>
          </w:p>
        </w:tc>
        <w:tc>
          <w:tcPr>
            <w:tcW w:w="1843"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vAlign w:val="center"/>
          </w:tcPr>
          <w:p w:rsidR="003B5EBC" w:rsidRDefault="00A1518B">
            <w:pPr>
              <w:spacing w:after="0" w:line="240" w:lineRule="auto"/>
              <w:jc w:val="center"/>
              <w:rPr>
                <w:rFonts w:ascii="Garamond" w:eastAsia="Times New Roman" w:hAnsi="Garamond" w:cstheme="majorBidi"/>
                <w:b/>
                <w:bCs/>
                <w:sz w:val="24"/>
                <w:szCs w:val="24"/>
                <w:lang w:eastAsia="zh-CN"/>
              </w:rPr>
            </w:pPr>
            <w:r>
              <w:rPr>
                <w:rFonts w:ascii="Garamond" w:eastAsia="Times New Roman" w:hAnsi="Garamond" w:cstheme="majorBidi"/>
                <w:b/>
                <w:bCs/>
                <w:sz w:val="24"/>
                <w:szCs w:val="24"/>
                <w:lang w:eastAsia="zh-CN"/>
              </w:rPr>
              <w:t>105 jours</w:t>
            </w:r>
          </w:p>
          <w:p w:rsidR="003B5EBC" w:rsidRDefault="00A1518B">
            <w:pPr>
              <w:spacing w:after="0" w:line="240" w:lineRule="auto"/>
              <w:jc w:val="center"/>
              <w:rPr>
                <w:rFonts w:ascii="Garamond" w:eastAsia="Times New Roman" w:hAnsi="Garamond" w:cstheme="majorBidi"/>
                <w:sz w:val="24"/>
                <w:szCs w:val="24"/>
                <w:lang w:val="en-US" w:eastAsia="zh-CN"/>
              </w:rPr>
            </w:pPr>
            <w:r>
              <w:rPr>
                <w:rFonts w:ascii="Garamond" w:eastAsia="Times New Roman" w:hAnsi="Garamond" w:cstheme="majorBidi"/>
                <w:sz w:val="24"/>
                <w:szCs w:val="24"/>
                <w:lang w:eastAsia="zh-CN"/>
              </w:rPr>
              <w:t>(3,5 mois)</w:t>
            </w:r>
          </w:p>
        </w:tc>
      </w:tr>
      <w:tr w:rsidR="003B5EBC">
        <w:tc>
          <w:tcPr>
            <w:tcW w:w="821"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en-US" w:eastAsia="zh-CN"/>
              </w:rPr>
            </w:pPr>
            <w:r>
              <w:rPr>
                <w:rFonts w:ascii="Garamond" w:eastAsia="Times New Roman" w:hAnsi="Garamond" w:cstheme="majorBidi"/>
                <w:b/>
                <w:bCs/>
                <w:sz w:val="24"/>
                <w:szCs w:val="24"/>
                <w:lang w:val="en-US" w:eastAsia="zh-CN"/>
              </w:rPr>
              <w:t>L2.2</w:t>
            </w:r>
          </w:p>
        </w:tc>
        <w:tc>
          <w:tcPr>
            <w:tcW w:w="725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jc w:val="both"/>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Architecture fonctionnelle et technique détaillée du système électronique APA, incluant les workflows, les profils utilisateurs, les maquettes fonctionnelles, les tableaux de bord et le modèle d’administration.</w:t>
            </w:r>
          </w:p>
        </w:tc>
        <w:tc>
          <w:tcPr>
            <w:tcW w:w="1843"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vAlign w:val="center"/>
          </w:tcPr>
          <w:p w:rsidR="003B5EBC" w:rsidRDefault="00A1518B">
            <w:pPr>
              <w:spacing w:after="0" w:line="240" w:lineRule="auto"/>
              <w:jc w:val="center"/>
              <w:rPr>
                <w:rFonts w:ascii="Garamond" w:eastAsia="Times New Roman" w:hAnsi="Garamond" w:cstheme="majorBidi"/>
                <w:b/>
                <w:bCs/>
                <w:sz w:val="24"/>
                <w:szCs w:val="24"/>
                <w:lang w:eastAsia="zh-CN"/>
              </w:rPr>
            </w:pPr>
            <w:r>
              <w:rPr>
                <w:rFonts w:ascii="Garamond" w:eastAsia="Times New Roman" w:hAnsi="Garamond" w:cstheme="majorBidi"/>
                <w:b/>
                <w:bCs/>
                <w:sz w:val="24"/>
                <w:szCs w:val="24"/>
                <w:lang w:eastAsia="zh-CN"/>
              </w:rPr>
              <w:t xml:space="preserve">120 jours </w:t>
            </w:r>
          </w:p>
          <w:p w:rsidR="003B5EBC" w:rsidRDefault="00A1518B">
            <w:pPr>
              <w:spacing w:after="0" w:line="240" w:lineRule="auto"/>
              <w:jc w:val="center"/>
              <w:rPr>
                <w:rFonts w:ascii="Garamond" w:eastAsia="Times New Roman" w:hAnsi="Garamond" w:cstheme="majorBidi"/>
                <w:sz w:val="24"/>
                <w:szCs w:val="24"/>
                <w:lang w:val="en-US" w:eastAsia="zh-CN"/>
              </w:rPr>
            </w:pPr>
            <w:r>
              <w:rPr>
                <w:rFonts w:ascii="Garamond" w:eastAsia="Times New Roman" w:hAnsi="Garamond" w:cstheme="majorBidi"/>
                <w:sz w:val="24"/>
                <w:szCs w:val="24"/>
                <w:lang w:eastAsia="zh-CN"/>
              </w:rPr>
              <w:t>(4 mois)</w:t>
            </w:r>
          </w:p>
        </w:tc>
      </w:tr>
      <w:tr w:rsidR="003B5EBC">
        <w:tc>
          <w:tcPr>
            <w:tcW w:w="821"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3B5EBC">
            <w:pPr>
              <w:spacing w:after="0" w:line="240" w:lineRule="auto"/>
              <w:rPr>
                <w:rFonts w:ascii="Garamond" w:eastAsia="Times New Roman" w:hAnsi="Garamond" w:cstheme="majorBidi"/>
                <w:b/>
                <w:bCs/>
                <w:strike/>
                <w:sz w:val="24"/>
                <w:szCs w:val="24"/>
                <w:lang w:val="en-US" w:eastAsia="zh-CN"/>
              </w:rPr>
            </w:pPr>
          </w:p>
          <w:p w:rsidR="003B5EBC" w:rsidRDefault="00A1518B">
            <w:pPr>
              <w:spacing w:after="0" w:line="240" w:lineRule="auto"/>
              <w:rPr>
                <w:rFonts w:ascii="Garamond" w:eastAsia="Times New Roman" w:hAnsi="Garamond" w:cstheme="majorBidi"/>
                <w:b/>
                <w:bCs/>
                <w:sz w:val="24"/>
                <w:szCs w:val="24"/>
                <w:lang w:val="en-US" w:eastAsia="zh-CN"/>
              </w:rPr>
            </w:pPr>
            <w:r>
              <w:rPr>
                <w:rFonts w:ascii="Garamond" w:eastAsia="Times New Roman" w:hAnsi="Garamond" w:cstheme="majorBidi"/>
                <w:b/>
                <w:bCs/>
                <w:sz w:val="24"/>
                <w:szCs w:val="24"/>
                <w:lang w:val="en-US" w:eastAsia="zh-CN"/>
              </w:rPr>
              <w:t>L2.3</w:t>
            </w:r>
          </w:p>
        </w:tc>
        <w:tc>
          <w:tcPr>
            <w:tcW w:w="725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jc w:val="both"/>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Note d’analyse de l’interopérabilité, de l’hébergement et de la compatibilité informatique, incluant l’articulation avec le CHM Biodiversité du Maroc, les prérequis d’hébergement auprès du MTEDD-DDD, la compatibilité avec l’environnement informatique du ministère chargé de l’environnement et, le cas échéant, l’alignement avec les orientations du Ministère de la Transition Numérique et de la Réforme de l’Administration.</w:t>
            </w:r>
          </w:p>
        </w:tc>
        <w:tc>
          <w:tcPr>
            <w:tcW w:w="1843"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vAlign w:val="center"/>
          </w:tcPr>
          <w:p w:rsidR="003B5EBC" w:rsidRDefault="00A1518B">
            <w:pPr>
              <w:spacing w:after="0" w:line="240" w:lineRule="auto"/>
              <w:jc w:val="center"/>
              <w:rPr>
                <w:rFonts w:ascii="Garamond" w:eastAsia="Times New Roman" w:hAnsi="Garamond" w:cstheme="majorBidi"/>
                <w:b/>
                <w:bCs/>
                <w:sz w:val="24"/>
                <w:szCs w:val="24"/>
                <w:lang w:eastAsia="zh-CN"/>
              </w:rPr>
            </w:pPr>
            <w:r>
              <w:rPr>
                <w:rFonts w:ascii="Garamond" w:eastAsia="Times New Roman" w:hAnsi="Garamond" w:cstheme="majorBidi"/>
                <w:b/>
                <w:bCs/>
                <w:sz w:val="24"/>
                <w:szCs w:val="24"/>
                <w:lang w:eastAsia="zh-CN"/>
              </w:rPr>
              <w:t>13</w:t>
            </w:r>
            <w:r w:rsidR="00E91CFB">
              <w:rPr>
                <w:rFonts w:ascii="Garamond" w:eastAsia="Times New Roman" w:hAnsi="Garamond" w:cstheme="majorBidi"/>
                <w:b/>
                <w:bCs/>
                <w:sz w:val="24"/>
                <w:szCs w:val="24"/>
                <w:lang w:val="fr-FR" w:eastAsia="zh-CN"/>
              </w:rPr>
              <w:t>5</w:t>
            </w:r>
            <w:r>
              <w:rPr>
                <w:rFonts w:ascii="Garamond" w:eastAsia="Times New Roman" w:hAnsi="Garamond" w:cstheme="majorBidi"/>
                <w:b/>
                <w:bCs/>
                <w:sz w:val="24"/>
                <w:szCs w:val="24"/>
                <w:lang w:eastAsia="zh-CN"/>
              </w:rPr>
              <w:t xml:space="preserve"> jours </w:t>
            </w:r>
          </w:p>
          <w:p w:rsidR="003B5EBC" w:rsidRDefault="00A1518B">
            <w:pPr>
              <w:spacing w:after="0" w:line="240" w:lineRule="auto"/>
              <w:jc w:val="center"/>
              <w:rPr>
                <w:rFonts w:ascii="Garamond" w:eastAsia="Times New Roman" w:hAnsi="Garamond" w:cstheme="majorBidi"/>
                <w:sz w:val="24"/>
                <w:szCs w:val="24"/>
                <w:lang w:val="en-US" w:eastAsia="zh-CN"/>
              </w:rPr>
            </w:pPr>
            <w:r>
              <w:rPr>
                <w:rFonts w:ascii="Garamond" w:eastAsia="Times New Roman" w:hAnsi="Garamond" w:cstheme="majorBidi"/>
                <w:sz w:val="24"/>
                <w:szCs w:val="24"/>
                <w:lang w:eastAsia="zh-CN"/>
              </w:rPr>
              <w:t>(4,</w:t>
            </w:r>
            <w:r w:rsidR="00E91CFB">
              <w:rPr>
                <w:rFonts w:ascii="Garamond" w:eastAsia="Times New Roman" w:hAnsi="Garamond" w:cstheme="majorBidi"/>
                <w:sz w:val="24"/>
                <w:szCs w:val="24"/>
                <w:lang w:val="fr-FR" w:eastAsia="zh-CN"/>
              </w:rPr>
              <w:t>5</w:t>
            </w:r>
            <w:r>
              <w:rPr>
                <w:rFonts w:ascii="Garamond" w:eastAsia="Times New Roman" w:hAnsi="Garamond" w:cstheme="majorBidi"/>
                <w:sz w:val="24"/>
                <w:szCs w:val="24"/>
                <w:lang w:eastAsia="zh-CN"/>
              </w:rPr>
              <w:t xml:space="preserve"> mois)</w:t>
            </w:r>
          </w:p>
        </w:tc>
      </w:tr>
      <w:tr w:rsidR="003B5EBC">
        <w:tc>
          <w:tcPr>
            <w:tcW w:w="9922" w:type="dxa"/>
            <w:gridSpan w:val="3"/>
            <w:tcBorders>
              <w:top w:val="single" w:sz="0" w:space="0" w:color="CCCCCC"/>
              <w:left w:val="single" w:sz="0" w:space="0" w:color="CCCCCC"/>
              <w:bottom w:val="single" w:sz="0" w:space="0" w:color="CCCCCC"/>
              <w:right w:val="single" w:sz="0" w:space="0" w:color="CCCCCC"/>
            </w:tcBorders>
            <w:shd w:val="clear" w:color="auto" w:fill="FFC000"/>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fr-FR" w:eastAsia="zh-CN"/>
              </w:rPr>
            </w:pPr>
            <w:r>
              <w:rPr>
                <w:rFonts w:ascii="Garamond" w:eastAsia="Times New Roman" w:hAnsi="Garamond" w:cstheme="majorBidi"/>
                <w:b/>
                <w:bCs/>
                <w:sz w:val="24"/>
                <w:szCs w:val="24"/>
                <w:lang w:val="fr-FR" w:eastAsia="zh-CN"/>
              </w:rPr>
              <w:t xml:space="preserve">Mission 3 — </w:t>
            </w:r>
            <w:r>
              <w:rPr>
                <w:rFonts w:ascii="Garamond" w:eastAsia="Times New Roman" w:hAnsi="Garamond" w:cstheme="majorBidi"/>
                <w:b/>
                <w:bCs/>
                <w:sz w:val="24"/>
                <w:szCs w:val="24"/>
                <w:lang w:eastAsia="zh-CN"/>
              </w:rPr>
              <w:t>Développement, mise en ligne, formation et transfert de compétences</w:t>
            </w:r>
          </w:p>
        </w:tc>
      </w:tr>
      <w:tr w:rsidR="003B5EBC">
        <w:tc>
          <w:tcPr>
            <w:tcW w:w="821"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en-US" w:eastAsia="zh-CN"/>
              </w:rPr>
            </w:pPr>
            <w:r>
              <w:rPr>
                <w:rFonts w:ascii="Garamond" w:eastAsia="Times New Roman" w:hAnsi="Garamond" w:cstheme="majorBidi"/>
                <w:b/>
                <w:bCs/>
                <w:sz w:val="24"/>
                <w:szCs w:val="24"/>
                <w:lang w:val="en-US" w:eastAsia="zh-CN"/>
              </w:rPr>
              <w:t>L3.1</w:t>
            </w:r>
          </w:p>
        </w:tc>
        <w:tc>
          <w:tcPr>
            <w:tcW w:w="725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jc w:val="both"/>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Version bêta de la plateforme électronique APA, incluant les principaux modules développés, les formulaires électroniques, les workflows configurés, les profils utilisateurs, les premières fonctionnalités de suivi et de reporting, une note technique de développement, ainsi qu’une note de conformité préliminaire confirmant la compatibilité de la plateforme avec l’environnement informatique, les standards techniques et les politiques de sécurité du MTEDD-DDD.</w:t>
            </w:r>
          </w:p>
        </w:tc>
        <w:tc>
          <w:tcPr>
            <w:tcW w:w="1843"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vAlign w:val="center"/>
          </w:tcPr>
          <w:p w:rsidR="003B5EBC" w:rsidRDefault="00A1518B">
            <w:pPr>
              <w:spacing w:after="0" w:line="240" w:lineRule="auto"/>
              <w:jc w:val="center"/>
              <w:rPr>
                <w:rFonts w:ascii="Garamond" w:hAnsi="Garamond"/>
                <w:b/>
                <w:bCs/>
                <w:sz w:val="24"/>
                <w:szCs w:val="24"/>
              </w:rPr>
            </w:pPr>
            <w:r>
              <w:rPr>
                <w:rFonts w:ascii="Garamond" w:hAnsi="Garamond"/>
                <w:b/>
                <w:bCs/>
                <w:sz w:val="24"/>
                <w:szCs w:val="24"/>
              </w:rPr>
              <w:t xml:space="preserve">150 jours </w:t>
            </w:r>
          </w:p>
          <w:p w:rsidR="003B5EBC" w:rsidRDefault="00A1518B">
            <w:pPr>
              <w:spacing w:after="0" w:line="240" w:lineRule="auto"/>
              <w:jc w:val="center"/>
              <w:rPr>
                <w:rFonts w:ascii="Garamond" w:eastAsia="Times New Roman" w:hAnsi="Garamond" w:cstheme="majorBidi"/>
                <w:sz w:val="24"/>
                <w:szCs w:val="24"/>
                <w:lang w:val="en-US" w:eastAsia="zh-CN"/>
              </w:rPr>
            </w:pPr>
            <w:r>
              <w:rPr>
                <w:rFonts w:ascii="Garamond" w:hAnsi="Garamond"/>
                <w:sz w:val="24"/>
                <w:szCs w:val="24"/>
              </w:rPr>
              <w:t>(5 mois)</w:t>
            </w:r>
          </w:p>
        </w:tc>
      </w:tr>
      <w:tr w:rsidR="003B5EBC">
        <w:tc>
          <w:tcPr>
            <w:tcW w:w="821"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en-US" w:eastAsia="zh-CN"/>
              </w:rPr>
            </w:pPr>
            <w:r>
              <w:rPr>
                <w:rFonts w:ascii="Garamond" w:eastAsia="Times New Roman" w:hAnsi="Garamond" w:cstheme="majorBidi"/>
                <w:b/>
                <w:bCs/>
                <w:sz w:val="24"/>
                <w:szCs w:val="24"/>
                <w:lang w:val="en-US" w:eastAsia="zh-CN"/>
              </w:rPr>
              <w:t>L3.2</w:t>
            </w:r>
          </w:p>
        </w:tc>
        <w:tc>
          <w:tcPr>
            <w:tcW w:w="725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jc w:val="both"/>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Plateforme électronique APA testée, validée et mise en ligne dans l’environnement d’hébergement retenu, accompagnée du rapport de tests et du rapport de phase pilote.</w:t>
            </w:r>
          </w:p>
        </w:tc>
        <w:tc>
          <w:tcPr>
            <w:tcW w:w="1843"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vAlign w:val="center"/>
          </w:tcPr>
          <w:p w:rsidR="003B5EBC" w:rsidRDefault="00A1518B">
            <w:pPr>
              <w:spacing w:after="0" w:line="240" w:lineRule="auto"/>
              <w:jc w:val="center"/>
              <w:rPr>
                <w:rFonts w:ascii="Garamond" w:eastAsia="Times New Roman" w:hAnsi="Garamond" w:cstheme="majorBidi"/>
                <w:b/>
                <w:bCs/>
                <w:sz w:val="24"/>
                <w:szCs w:val="24"/>
                <w:lang w:eastAsia="zh-CN"/>
              </w:rPr>
            </w:pPr>
            <w:r>
              <w:rPr>
                <w:rFonts w:ascii="Garamond" w:eastAsia="Times New Roman" w:hAnsi="Garamond" w:cstheme="majorBidi"/>
                <w:b/>
                <w:bCs/>
                <w:sz w:val="24"/>
                <w:szCs w:val="24"/>
                <w:lang w:eastAsia="zh-CN"/>
              </w:rPr>
              <w:t xml:space="preserve">165 jours </w:t>
            </w:r>
          </w:p>
          <w:p w:rsidR="003B5EBC" w:rsidRDefault="00A1518B">
            <w:pPr>
              <w:spacing w:after="0" w:line="240" w:lineRule="auto"/>
              <w:jc w:val="center"/>
              <w:rPr>
                <w:rFonts w:ascii="Garamond" w:eastAsia="Times New Roman" w:hAnsi="Garamond" w:cstheme="majorBidi"/>
                <w:sz w:val="24"/>
                <w:szCs w:val="24"/>
                <w:lang w:val="en-US" w:eastAsia="zh-CN"/>
              </w:rPr>
            </w:pPr>
            <w:r>
              <w:rPr>
                <w:rFonts w:ascii="Garamond" w:eastAsia="Times New Roman" w:hAnsi="Garamond" w:cstheme="majorBidi"/>
                <w:sz w:val="24"/>
                <w:szCs w:val="24"/>
                <w:lang w:eastAsia="zh-CN"/>
              </w:rPr>
              <w:t>(5,5 mois)</w:t>
            </w:r>
          </w:p>
        </w:tc>
      </w:tr>
      <w:tr w:rsidR="003B5EBC">
        <w:tc>
          <w:tcPr>
            <w:tcW w:w="821"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en-US" w:eastAsia="zh-CN"/>
              </w:rPr>
            </w:pPr>
            <w:r>
              <w:rPr>
                <w:rFonts w:ascii="Garamond" w:eastAsia="Times New Roman" w:hAnsi="Garamond" w:cstheme="majorBidi"/>
                <w:b/>
                <w:bCs/>
                <w:sz w:val="24"/>
                <w:szCs w:val="24"/>
                <w:lang w:val="en-US" w:eastAsia="zh-CN"/>
              </w:rPr>
              <w:t>L3.3</w:t>
            </w:r>
          </w:p>
        </w:tc>
        <w:tc>
          <w:tcPr>
            <w:tcW w:w="725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rsidR="003B5EBC" w:rsidRDefault="00A1518B">
            <w:pPr>
              <w:spacing w:after="0" w:line="240" w:lineRule="auto"/>
              <w:jc w:val="both"/>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Manuels, documentation technique, supports de formation et rapport de transfert de compétences destinés aux utilisateurs, administrateurs et autorités compétentes.</w:t>
            </w:r>
          </w:p>
        </w:tc>
        <w:tc>
          <w:tcPr>
            <w:tcW w:w="1843"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vAlign w:val="center"/>
          </w:tcPr>
          <w:p w:rsidR="003B5EBC" w:rsidRDefault="00A1518B">
            <w:pPr>
              <w:spacing w:after="0" w:line="240" w:lineRule="auto"/>
              <w:jc w:val="center"/>
              <w:rPr>
                <w:rFonts w:ascii="Garamond" w:eastAsia="Times New Roman" w:hAnsi="Garamond" w:cstheme="majorBidi"/>
                <w:b/>
                <w:bCs/>
                <w:sz w:val="24"/>
                <w:szCs w:val="24"/>
                <w:lang w:eastAsia="zh-CN"/>
              </w:rPr>
            </w:pPr>
            <w:r>
              <w:rPr>
                <w:rFonts w:ascii="Garamond" w:eastAsia="Times New Roman" w:hAnsi="Garamond" w:cstheme="majorBidi"/>
                <w:b/>
                <w:bCs/>
                <w:sz w:val="24"/>
                <w:szCs w:val="24"/>
                <w:lang w:eastAsia="zh-CN"/>
              </w:rPr>
              <w:t xml:space="preserve">175 jours </w:t>
            </w:r>
          </w:p>
          <w:p w:rsidR="003B5EBC" w:rsidRDefault="00A1518B">
            <w:pPr>
              <w:spacing w:after="0" w:line="240" w:lineRule="auto"/>
              <w:jc w:val="center"/>
              <w:rPr>
                <w:rFonts w:ascii="Garamond" w:eastAsia="Times New Roman" w:hAnsi="Garamond" w:cstheme="majorBidi"/>
                <w:strike/>
                <w:sz w:val="24"/>
                <w:szCs w:val="24"/>
                <w:lang w:val="fr-FR" w:eastAsia="zh-CN"/>
              </w:rPr>
            </w:pPr>
            <w:r>
              <w:rPr>
                <w:rFonts w:ascii="Garamond" w:eastAsia="Times New Roman" w:hAnsi="Garamond" w:cstheme="majorBidi"/>
                <w:sz w:val="24"/>
                <w:szCs w:val="24"/>
                <w:lang w:eastAsia="zh-CN"/>
              </w:rPr>
              <w:t>(5,75 mois)</w:t>
            </w:r>
          </w:p>
        </w:tc>
      </w:tr>
      <w:tr w:rsidR="003B5EBC">
        <w:tc>
          <w:tcPr>
            <w:tcW w:w="9922" w:type="dxa"/>
            <w:gridSpan w:val="3"/>
            <w:tcBorders>
              <w:top w:val="single" w:sz="0" w:space="0" w:color="CCCCCC"/>
              <w:left w:val="single" w:sz="0" w:space="0" w:color="CCCCCC"/>
              <w:bottom w:val="single" w:sz="0" w:space="0" w:color="CCCCCC"/>
              <w:right w:val="single" w:sz="0" w:space="0" w:color="CCCCCC"/>
            </w:tcBorders>
            <w:shd w:val="clear" w:color="auto" w:fill="1F4E79"/>
            <w:tcMar>
              <w:top w:w="80" w:type="dxa"/>
              <w:left w:w="120" w:type="dxa"/>
              <w:bottom w:w="80" w:type="dxa"/>
              <w:right w:w="120" w:type="dxa"/>
            </w:tcMar>
          </w:tcPr>
          <w:p w:rsidR="003B5EBC" w:rsidRDefault="00A1518B">
            <w:pPr>
              <w:spacing w:after="0" w:line="240" w:lineRule="auto"/>
              <w:jc w:val="center"/>
              <w:rPr>
                <w:rFonts w:ascii="Garamond" w:eastAsia="Times New Roman" w:hAnsi="Garamond" w:cstheme="majorBidi"/>
                <w:b/>
                <w:bCs/>
                <w:sz w:val="24"/>
                <w:szCs w:val="24"/>
                <w:lang w:val="en-US" w:eastAsia="zh-CN"/>
              </w:rPr>
            </w:pPr>
            <w:r>
              <w:rPr>
                <w:rFonts w:ascii="Garamond" w:eastAsia="Times New Roman" w:hAnsi="Garamond" w:cstheme="majorBidi"/>
                <w:b/>
                <w:bCs/>
                <w:color w:val="FFFFFF" w:themeColor="background1"/>
                <w:sz w:val="24"/>
                <w:szCs w:val="24"/>
                <w:lang w:val="en-US" w:eastAsia="zh-CN"/>
              </w:rPr>
              <w:t>Livrable Final — Transversal</w:t>
            </w:r>
          </w:p>
        </w:tc>
      </w:tr>
      <w:tr w:rsidR="003B5EBC">
        <w:tc>
          <w:tcPr>
            <w:tcW w:w="821"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tcPr>
          <w:p w:rsidR="003B5EBC" w:rsidRDefault="00A1518B">
            <w:pPr>
              <w:spacing w:after="0" w:line="240" w:lineRule="auto"/>
              <w:rPr>
                <w:rFonts w:ascii="Garamond" w:eastAsia="Times New Roman" w:hAnsi="Garamond" w:cstheme="majorBidi"/>
                <w:b/>
                <w:bCs/>
                <w:sz w:val="24"/>
                <w:szCs w:val="24"/>
                <w:lang w:val="en-US" w:eastAsia="zh-CN"/>
              </w:rPr>
            </w:pPr>
            <w:r>
              <w:rPr>
                <w:rFonts w:ascii="Garamond" w:eastAsia="Times New Roman" w:hAnsi="Garamond" w:cstheme="majorBidi"/>
                <w:b/>
                <w:bCs/>
                <w:sz w:val="24"/>
                <w:szCs w:val="24"/>
                <w:lang w:val="en-US" w:eastAsia="zh-CN"/>
              </w:rPr>
              <w:t>LF.1</w:t>
            </w:r>
          </w:p>
        </w:tc>
        <w:tc>
          <w:tcPr>
            <w:tcW w:w="7258"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tcPr>
          <w:p w:rsidR="003B5EBC" w:rsidRPr="00160BAC" w:rsidRDefault="00A1518B">
            <w:pPr>
              <w:spacing w:after="0" w:line="240" w:lineRule="auto"/>
              <w:jc w:val="both"/>
              <w:rPr>
                <w:rFonts w:ascii="Garamond" w:eastAsia="Times New Roman" w:hAnsi="Garamond" w:cstheme="majorBidi"/>
                <w:sz w:val="24"/>
                <w:szCs w:val="24"/>
                <w:lang w:val="fr-FR" w:eastAsia="zh-CN"/>
              </w:rPr>
            </w:pPr>
            <w:r>
              <w:rPr>
                <w:rFonts w:ascii="Garamond" w:eastAsia="Times New Roman" w:hAnsi="Garamond" w:cstheme="majorBidi"/>
                <w:sz w:val="24"/>
                <w:szCs w:val="24"/>
                <w:lang w:eastAsia="zh-CN"/>
              </w:rPr>
              <w:t>Rapport final d’évaluation de la prestation, incluant le bilan des activités réalisées, les résultats atteints, les difficultés rencontrées, les recommandations de maintenance, d’exploitation et d’évolution du système.</w:t>
            </w:r>
          </w:p>
        </w:tc>
        <w:tc>
          <w:tcPr>
            <w:tcW w:w="1843"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vAlign w:val="center"/>
          </w:tcPr>
          <w:p w:rsidR="003B5EBC" w:rsidRDefault="00A1518B">
            <w:pPr>
              <w:spacing w:after="0" w:line="240" w:lineRule="auto"/>
              <w:jc w:val="center"/>
              <w:rPr>
                <w:rFonts w:ascii="Garamond" w:eastAsia="Times New Roman" w:hAnsi="Garamond" w:cstheme="majorBidi"/>
                <w:b/>
                <w:bCs/>
                <w:sz w:val="24"/>
                <w:szCs w:val="24"/>
                <w:lang w:eastAsia="zh-CN"/>
              </w:rPr>
            </w:pPr>
            <w:r>
              <w:rPr>
                <w:rFonts w:ascii="Garamond" w:eastAsia="Times New Roman" w:hAnsi="Garamond" w:cstheme="majorBidi"/>
                <w:b/>
                <w:bCs/>
                <w:sz w:val="24"/>
                <w:szCs w:val="24"/>
                <w:lang w:eastAsia="zh-CN"/>
              </w:rPr>
              <w:t xml:space="preserve">180 jours </w:t>
            </w:r>
          </w:p>
          <w:p w:rsidR="003B5EBC" w:rsidRDefault="00A1518B">
            <w:pPr>
              <w:spacing w:after="0" w:line="240" w:lineRule="auto"/>
              <w:jc w:val="center"/>
              <w:rPr>
                <w:rFonts w:ascii="Garamond" w:eastAsia="Times New Roman" w:hAnsi="Garamond" w:cstheme="majorBidi"/>
                <w:sz w:val="24"/>
                <w:szCs w:val="24"/>
                <w:lang w:val="en-US" w:eastAsia="zh-CN"/>
              </w:rPr>
            </w:pPr>
            <w:r>
              <w:rPr>
                <w:rFonts w:ascii="Garamond" w:eastAsia="Times New Roman" w:hAnsi="Garamond" w:cstheme="majorBidi"/>
                <w:sz w:val="24"/>
                <w:szCs w:val="24"/>
                <w:lang w:eastAsia="zh-CN"/>
              </w:rPr>
              <w:t>(6 mois)</w:t>
            </w:r>
          </w:p>
        </w:tc>
      </w:tr>
    </w:tbl>
    <w:p w:rsidR="003B5EBC" w:rsidRDefault="003B5EBC">
      <w:pPr>
        <w:spacing w:after="0" w:line="240" w:lineRule="auto"/>
        <w:rPr>
          <w:rFonts w:asciiTheme="majorBidi" w:eastAsia="Times New Roman" w:hAnsiTheme="majorBidi" w:cstheme="majorBidi"/>
          <w:b/>
          <w:bCs/>
          <w:sz w:val="24"/>
          <w:szCs w:val="24"/>
          <w:u w:val="single"/>
          <w:lang w:eastAsia="zh-CN"/>
        </w:rPr>
      </w:pPr>
    </w:p>
    <w:p w:rsidR="003B5EBC" w:rsidRDefault="003B5EBC">
      <w:pPr>
        <w:spacing w:after="0" w:line="240" w:lineRule="auto"/>
        <w:rPr>
          <w:rFonts w:ascii="Calisto MT" w:eastAsia="Times New Roman" w:hAnsi="Calisto MT" w:cs="Times New Roman"/>
          <w:b/>
          <w:bCs/>
          <w:sz w:val="24"/>
          <w:szCs w:val="24"/>
          <w:u w:val="single"/>
          <w:lang w:eastAsia="zh-CN"/>
        </w:rPr>
      </w:pPr>
    </w:p>
    <w:p w:rsidR="003B5EBC" w:rsidRDefault="00A1518B">
      <w:pPr>
        <w:pStyle w:val="Titre2"/>
        <w:ind w:left="0"/>
        <w:rPr>
          <w:rFonts w:ascii="Garamond" w:hAnsi="Garamond"/>
          <w:color w:val="1F4E79" w:themeColor="accent1" w:themeShade="80"/>
        </w:rPr>
      </w:pPr>
      <w:r>
        <w:rPr>
          <w:rFonts w:ascii="Garamond" w:hAnsi="Garamond"/>
          <w:color w:val="1F4E79" w:themeColor="accent1" w:themeShade="80"/>
        </w:rPr>
        <w:t xml:space="preserve">Contenu minimal attendu des livrables : </w:t>
      </w:r>
    </w:p>
    <w:p w:rsidR="003B5EBC" w:rsidRDefault="00A1518B">
      <w:pPr>
        <w:spacing w:before="80" w:after="80"/>
        <w:rPr>
          <w:rFonts w:ascii="Garamond" w:hAnsi="Garamond" w:cstheme="majorBidi"/>
          <w:sz w:val="24"/>
          <w:szCs w:val="24"/>
        </w:rPr>
      </w:pPr>
      <w:r>
        <w:rPr>
          <w:rFonts w:ascii="Garamond" w:hAnsi="Garamond" w:cstheme="majorBidi"/>
          <w:sz w:val="24"/>
          <w:szCs w:val="24"/>
        </w:rPr>
        <w:t>Chaque livrable devra être structuré, clair et directement exploitable par le maître d’ouvrage. Il devra présenter les analyses réalisées, les résultats obtenus, les recommandations formulées et, le cas échéant, les outils, supports ou documents techniques produits.</w:t>
      </w:r>
    </w:p>
    <w:p w:rsidR="003B5EBC" w:rsidRDefault="003B5EBC">
      <w:pPr>
        <w:spacing w:before="80" w:after="80"/>
        <w:rPr>
          <w:rFonts w:ascii="Garamond" w:hAnsi="Garamond" w:cstheme="majorBidi"/>
          <w:sz w:val="24"/>
          <w:szCs w:val="24"/>
          <w:u w:val="single"/>
        </w:rPr>
      </w:pPr>
    </w:p>
    <w:p w:rsidR="003B5EBC" w:rsidRDefault="00A1518B">
      <w:pPr>
        <w:spacing w:before="80" w:after="80"/>
        <w:rPr>
          <w:rFonts w:ascii="Garamond" w:hAnsi="Garamond" w:cstheme="majorBidi"/>
          <w:sz w:val="24"/>
          <w:szCs w:val="24"/>
          <w:u w:val="single"/>
        </w:rPr>
      </w:pPr>
      <w:r>
        <w:rPr>
          <w:rFonts w:ascii="Garamond" w:hAnsi="Garamond" w:cstheme="majorBidi"/>
          <w:sz w:val="24"/>
          <w:szCs w:val="24"/>
          <w:u w:val="single"/>
        </w:rPr>
        <w:t>Pour le Livrable 0 — Note méthodologique</w:t>
      </w:r>
    </w:p>
    <w:p w:rsidR="003B5EBC" w:rsidRDefault="00A1518B">
      <w:pPr>
        <w:spacing w:before="80" w:after="80"/>
        <w:rPr>
          <w:rFonts w:ascii="Garamond" w:hAnsi="Garamond" w:cstheme="majorBidi"/>
          <w:sz w:val="24"/>
          <w:szCs w:val="24"/>
        </w:rPr>
      </w:pPr>
      <w:r>
        <w:rPr>
          <w:rFonts w:ascii="Garamond" w:hAnsi="Garamond" w:cstheme="majorBidi"/>
          <w:sz w:val="24"/>
          <w:szCs w:val="24"/>
        </w:rPr>
        <w:t>La note méthodologique devra préciser :</w:t>
      </w:r>
    </w:p>
    <w:p w:rsidR="003B5EBC" w:rsidRDefault="00A1518B">
      <w:pPr>
        <w:spacing w:before="80" w:after="80"/>
        <w:rPr>
          <w:rFonts w:ascii="Garamond" w:hAnsi="Garamond" w:cstheme="majorBidi"/>
          <w:sz w:val="24"/>
          <w:szCs w:val="24"/>
        </w:rPr>
      </w:pPr>
      <w:r>
        <w:rPr>
          <w:rFonts w:ascii="Garamond" w:hAnsi="Garamond" w:cstheme="majorBidi"/>
          <w:sz w:val="24"/>
          <w:szCs w:val="24"/>
        </w:rPr>
        <w:t>▪ La compréhension de la mission par le prestataire.</w:t>
      </w:r>
      <w:r>
        <w:rPr>
          <w:rFonts w:ascii="Garamond" w:hAnsi="Garamond" w:cstheme="majorBidi"/>
          <w:sz w:val="24"/>
          <w:szCs w:val="24"/>
        </w:rPr>
        <w:br/>
        <w:t>▪ La méthodologie de travail proposée.</w:t>
      </w:r>
      <w:r>
        <w:rPr>
          <w:rFonts w:ascii="Garamond" w:hAnsi="Garamond" w:cstheme="majorBidi"/>
          <w:sz w:val="24"/>
          <w:szCs w:val="24"/>
        </w:rPr>
        <w:br/>
        <w:t>▪ Le chronogramme détaillé sur 6 mois.</w:t>
      </w:r>
      <w:r>
        <w:rPr>
          <w:rFonts w:ascii="Garamond" w:hAnsi="Garamond" w:cstheme="majorBidi"/>
          <w:sz w:val="24"/>
          <w:szCs w:val="24"/>
        </w:rPr>
        <w:br/>
        <w:t>▪ Les parties prenantes à consulter.</w:t>
      </w:r>
      <w:r>
        <w:rPr>
          <w:rFonts w:ascii="Garamond" w:hAnsi="Garamond" w:cstheme="majorBidi"/>
          <w:sz w:val="24"/>
          <w:szCs w:val="24"/>
        </w:rPr>
        <w:br/>
        <w:t>▪ Les données à collecter et les outils de travail prévus.</w:t>
      </w:r>
      <w:r>
        <w:rPr>
          <w:rFonts w:ascii="Garamond" w:hAnsi="Garamond" w:cstheme="majorBidi"/>
          <w:sz w:val="24"/>
          <w:szCs w:val="24"/>
        </w:rPr>
        <w:br/>
        <w:t>▪ Les modalités de coordination et de validation avec l’équipe projet.</w:t>
      </w:r>
    </w:p>
    <w:p w:rsidR="003B5EBC" w:rsidRDefault="003B5EBC">
      <w:pPr>
        <w:spacing w:before="80" w:after="80"/>
        <w:rPr>
          <w:rFonts w:ascii="Garamond" w:hAnsi="Garamond" w:cstheme="majorBidi"/>
          <w:sz w:val="24"/>
          <w:szCs w:val="24"/>
        </w:rPr>
      </w:pPr>
    </w:p>
    <w:p w:rsidR="003B5EBC" w:rsidRDefault="00A1518B">
      <w:pPr>
        <w:spacing w:before="80" w:after="80"/>
        <w:rPr>
          <w:rFonts w:ascii="Garamond" w:hAnsi="Garamond" w:cstheme="majorBidi"/>
          <w:sz w:val="24"/>
          <w:szCs w:val="24"/>
          <w:u w:val="single"/>
        </w:rPr>
      </w:pPr>
      <w:r>
        <w:rPr>
          <w:rFonts w:ascii="Garamond" w:hAnsi="Garamond" w:cstheme="majorBidi"/>
          <w:sz w:val="24"/>
          <w:szCs w:val="24"/>
          <w:u w:val="single"/>
        </w:rPr>
        <w:t>Pour les livrables de la Mission 1</w:t>
      </w:r>
    </w:p>
    <w:p w:rsidR="003B5EBC" w:rsidRDefault="00A1518B">
      <w:pPr>
        <w:spacing w:before="80" w:after="80"/>
        <w:rPr>
          <w:rFonts w:ascii="Garamond" w:hAnsi="Garamond" w:cstheme="majorBidi"/>
          <w:sz w:val="24"/>
          <w:szCs w:val="24"/>
        </w:rPr>
      </w:pPr>
      <w:r>
        <w:rPr>
          <w:rFonts w:ascii="Garamond" w:hAnsi="Garamond" w:cstheme="majorBidi"/>
          <w:sz w:val="24"/>
          <w:szCs w:val="24"/>
        </w:rPr>
        <w:t>Les livrables de la Mission 1 devront couvrir :</w:t>
      </w:r>
    </w:p>
    <w:p w:rsidR="003B5EBC" w:rsidRDefault="00A1518B">
      <w:pPr>
        <w:spacing w:before="80" w:after="80"/>
        <w:rPr>
          <w:rFonts w:ascii="Garamond" w:hAnsi="Garamond" w:cstheme="majorBidi"/>
          <w:sz w:val="24"/>
          <w:szCs w:val="24"/>
        </w:rPr>
      </w:pPr>
      <w:r>
        <w:rPr>
          <w:rFonts w:ascii="Garamond" w:hAnsi="Garamond" w:cstheme="majorBidi"/>
          <w:sz w:val="24"/>
          <w:szCs w:val="24"/>
        </w:rPr>
        <w:t xml:space="preserve">▪ La décortication du </w:t>
      </w:r>
      <w:hyperlink r:id="rId21" w:history="1">
        <w:r>
          <w:rPr>
            <w:rStyle w:val="Lienhypertexte"/>
            <w:rFonts w:ascii="Garamond" w:hAnsi="Garamond"/>
            <w:sz w:val="24"/>
            <w:szCs w:val="24"/>
          </w:rPr>
          <w:t>Cadre r</w:t>
        </w:r>
        <w:r>
          <w:rPr>
            <w:rStyle w:val="Lienhypertexte"/>
            <w:rFonts w:ascii="Garamond" w:eastAsia="Malgun Gothic" w:hAnsi="Garamond" w:cs="Malgun Gothic"/>
            <w:sz w:val="24"/>
            <w:szCs w:val="24"/>
          </w:rPr>
          <w:t>é</w:t>
        </w:r>
        <w:r>
          <w:rPr>
            <w:rStyle w:val="Lienhypertexte"/>
            <w:rFonts w:ascii="Garamond" w:hAnsi="Garamond"/>
            <w:sz w:val="24"/>
            <w:szCs w:val="24"/>
          </w:rPr>
          <w:t>glementaire national de l'APA</w:t>
        </w:r>
      </w:hyperlink>
      <w:r>
        <w:rPr>
          <w:rFonts w:ascii="Garamond" w:hAnsi="Garamond"/>
          <w:sz w:val="24"/>
          <w:szCs w:val="24"/>
        </w:rPr>
        <w:t xml:space="preserve"> </w:t>
      </w:r>
      <w:r>
        <w:rPr>
          <w:rFonts w:ascii="Garamond" w:hAnsi="Garamond" w:cstheme="majorBidi"/>
          <w:sz w:val="24"/>
          <w:szCs w:val="24"/>
        </w:rPr>
        <w:t>et ses implications opérationnelles.</w:t>
      </w:r>
      <w:r>
        <w:rPr>
          <w:rFonts w:ascii="Garamond" w:hAnsi="Garamond" w:cstheme="majorBidi"/>
          <w:sz w:val="24"/>
          <w:szCs w:val="24"/>
        </w:rPr>
        <w:br/>
        <w:t>▪ La cartographie des procédures existantes et des circuits institutionnels.</w:t>
      </w:r>
      <w:r>
        <w:rPr>
          <w:rFonts w:ascii="Garamond" w:hAnsi="Garamond" w:cstheme="majorBidi"/>
          <w:sz w:val="24"/>
          <w:szCs w:val="24"/>
        </w:rPr>
        <w:br/>
        <w:t>▪ L’analyse des rôles, responsabilités, lacunes et besoins d’harmonisation.</w:t>
      </w:r>
      <w:r>
        <w:rPr>
          <w:rFonts w:ascii="Garamond" w:hAnsi="Garamond" w:cstheme="majorBidi"/>
          <w:sz w:val="24"/>
          <w:szCs w:val="24"/>
        </w:rPr>
        <w:br/>
        <w:t>▪ Le benchmark national et international des systèmes similaires.</w:t>
      </w:r>
      <w:r>
        <w:rPr>
          <w:rFonts w:ascii="Garamond" w:hAnsi="Garamond" w:cstheme="majorBidi"/>
          <w:sz w:val="24"/>
          <w:szCs w:val="24"/>
        </w:rPr>
        <w:br/>
        <w:t>▪ L’analyse de l’expérience camerounaise.</w:t>
      </w:r>
      <w:r>
        <w:rPr>
          <w:rFonts w:ascii="Garamond" w:hAnsi="Garamond" w:cstheme="majorBidi"/>
          <w:sz w:val="24"/>
          <w:szCs w:val="24"/>
        </w:rPr>
        <w:br/>
        <w:t>▪ Les recommandations pour adapter les enseignements au contexte marocain.</w:t>
      </w:r>
    </w:p>
    <w:p w:rsidR="003B5EBC" w:rsidRDefault="003B5EBC">
      <w:pPr>
        <w:spacing w:before="80" w:after="80"/>
        <w:rPr>
          <w:rFonts w:ascii="Garamond" w:hAnsi="Garamond" w:cstheme="majorBidi"/>
          <w:b/>
          <w:bCs/>
          <w:sz w:val="24"/>
          <w:szCs w:val="24"/>
        </w:rPr>
      </w:pPr>
    </w:p>
    <w:p w:rsidR="003B5EBC" w:rsidRDefault="00A1518B">
      <w:pPr>
        <w:spacing w:before="80" w:after="80"/>
        <w:rPr>
          <w:rFonts w:ascii="Garamond" w:hAnsi="Garamond" w:cstheme="majorBidi"/>
          <w:sz w:val="24"/>
          <w:szCs w:val="24"/>
          <w:u w:val="single"/>
        </w:rPr>
      </w:pPr>
      <w:r>
        <w:rPr>
          <w:rFonts w:ascii="Garamond" w:hAnsi="Garamond" w:cstheme="majorBidi"/>
          <w:sz w:val="24"/>
          <w:szCs w:val="24"/>
          <w:u w:val="single"/>
        </w:rPr>
        <w:t>Pour les livrables de la Mission 2</w:t>
      </w:r>
    </w:p>
    <w:p w:rsidR="003B5EBC" w:rsidRDefault="00A1518B">
      <w:pPr>
        <w:spacing w:before="80" w:after="80"/>
        <w:rPr>
          <w:rFonts w:ascii="Garamond" w:hAnsi="Garamond" w:cstheme="majorBidi"/>
          <w:sz w:val="24"/>
          <w:szCs w:val="24"/>
        </w:rPr>
      </w:pPr>
      <w:r>
        <w:rPr>
          <w:rFonts w:ascii="Garamond" w:hAnsi="Garamond" w:cstheme="majorBidi"/>
          <w:sz w:val="24"/>
          <w:szCs w:val="24"/>
        </w:rPr>
        <w:t>Les livrables de la Mission 2 devront couvrir :</w:t>
      </w:r>
    </w:p>
    <w:p w:rsidR="003B5EBC" w:rsidRPr="00C00FCA" w:rsidRDefault="00A1518B">
      <w:pPr>
        <w:spacing w:before="80" w:after="80"/>
        <w:rPr>
          <w:rFonts w:ascii="Garamond" w:hAnsi="Garamond" w:cstheme="majorBidi"/>
          <w:sz w:val="24"/>
          <w:szCs w:val="24"/>
          <w:lang w:val="fr-FR"/>
        </w:rPr>
      </w:pPr>
      <w:r>
        <w:rPr>
          <w:rFonts w:ascii="Garamond" w:hAnsi="Garamond" w:cstheme="majorBidi"/>
          <w:sz w:val="24"/>
          <w:szCs w:val="24"/>
        </w:rPr>
        <w:t>▪ Les exigences fonctionnelles et techniques du système.</w:t>
      </w:r>
      <w:r>
        <w:rPr>
          <w:rFonts w:ascii="Garamond" w:hAnsi="Garamond" w:cstheme="majorBidi"/>
          <w:sz w:val="24"/>
          <w:szCs w:val="24"/>
        </w:rPr>
        <w:br/>
        <w:t>▪ Les workflows, profils utilisateurs, formulaires, tableaux de bord et mécanismes de reporting.</w:t>
      </w:r>
      <w:r>
        <w:rPr>
          <w:rFonts w:ascii="Garamond" w:hAnsi="Garamond" w:cstheme="majorBidi"/>
          <w:sz w:val="24"/>
          <w:szCs w:val="24"/>
        </w:rPr>
        <w:br/>
        <w:t>▪ L’architecture fonctionnelle et technique du système.</w:t>
      </w:r>
      <w:r>
        <w:rPr>
          <w:rFonts w:ascii="Garamond" w:hAnsi="Garamond" w:cstheme="majorBidi"/>
          <w:sz w:val="24"/>
          <w:szCs w:val="24"/>
        </w:rPr>
        <w:br/>
        <w:t>▪ L’analyse de l’interopérabilité, de l’hébergement et de la compatibilité avec l’environnement informatique du MTEDD-DDD.</w:t>
      </w:r>
      <w:r>
        <w:rPr>
          <w:rFonts w:ascii="Garamond" w:hAnsi="Garamond" w:cstheme="majorBidi"/>
          <w:sz w:val="24"/>
          <w:szCs w:val="24"/>
        </w:rPr>
        <w:br/>
        <w:t>▪ L’articulation avec le CHM Biodiversité et les autres systèmes pertinents.</w:t>
      </w:r>
    </w:p>
    <w:p w:rsidR="003B5EBC" w:rsidRDefault="003B5EBC">
      <w:pPr>
        <w:spacing w:before="80" w:after="80"/>
        <w:rPr>
          <w:rFonts w:ascii="Garamond" w:hAnsi="Garamond" w:cstheme="majorBidi"/>
          <w:sz w:val="24"/>
          <w:szCs w:val="24"/>
        </w:rPr>
      </w:pPr>
    </w:p>
    <w:p w:rsidR="003B5EBC" w:rsidRDefault="00A1518B">
      <w:pPr>
        <w:spacing w:before="80" w:after="80"/>
        <w:rPr>
          <w:rFonts w:ascii="Garamond" w:hAnsi="Garamond" w:cstheme="majorBidi"/>
          <w:sz w:val="24"/>
          <w:szCs w:val="24"/>
          <w:u w:val="single"/>
        </w:rPr>
      </w:pPr>
      <w:r>
        <w:rPr>
          <w:rFonts w:ascii="Garamond" w:hAnsi="Garamond" w:cstheme="majorBidi"/>
          <w:sz w:val="24"/>
          <w:szCs w:val="24"/>
          <w:u w:val="single"/>
        </w:rPr>
        <w:t>Pour les livrables de la Mission 3</w:t>
      </w:r>
    </w:p>
    <w:p w:rsidR="003B5EBC" w:rsidRDefault="00A1518B">
      <w:pPr>
        <w:spacing w:before="80" w:after="80"/>
        <w:rPr>
          <w:rFonts w:ascii="Garamond" w:hAnsi="Garamond" w:cstheme="majorBidi"/>
          <w:sz w:val="24"/>
          <w:szCs w:val="24"/>
        </w:rPr>
      </w:pPr>
      <w:r>
        <w:rPr>
          <w:rFonts w:ascii="Garamond" w:hAnsi="Garamond" w:cstheme="majorBidi"/>
          <w:sz w:val="24"/>
          <w:szCs w:val="24"/>
        </w:rPr>
        <w:t>Les livrables de la Mission 3 devront couvrir :</w:t>
      </w:r>
    </w:p>
    <w:p w:rsidR="003B5EBC" w:rsidRDefault="00A1518B">
      <w:pPr>
        <w:spacing w:before="80" w:after="80"/>
        <w:rPr>
          <w:rFonts w:ascii="Garamond" w:hAnsi="Garamond" w:cstheme="majorBidi"/>
          <w:sz w:val="24"/>
          <w:szCs w:val="24"/>
        </w:rPr>
      </w:pPr>
      <w:r>
        <w:rPr>
          <w:rFonts w:ascii="Garamond" w:hAnsi="Garamond" w:cstheme="majorBidi"/>
          <w:sz w:val="24"/>
          <w:szCs w:val="24"/>
        </w:rPr>
        <w:lastRenderedPageBreak/>
        <w:t>▪ La plateforme électronique APA développée conformément aux exigences validées.</w:t>
      </w:r>
      <w:r>
        <w:rPr>
          <w:rFonts w:ascii="Garamond" w:hAnsi="Garamond" w:cstheme="majorBidi"/>
          <w:sz w:val="24"/>
          <w:szCs w:val="24"/>
        </w:rPr>
        <w:br/>
        <w:t>▪ Les résultats des tests, de la phase pilote et des ajustements réalisés.</w:t>
      </w:r>
      <w:r>
        <w:rPr>
          <w:rFonts w:ascii="Garamond" w:hAnsi="Garamond" w:cstheme="majorBidi"/>
          <w:sz w:val="24"/>
          <w:szCs w:val="24"/>
        </w:rPr>
        <w:br/>
        <w:t>▪ La mise en ligne de la plateforme dans l’environnement d’hébergement retenu.</w:t>
      </w:r>
      <w:r>
        <w:rPr>
          <w:rFonts w:ascii="Garamond" w:hAnsi="Garamond" w:cstheme="majorBidi"/>
          <w:sz w:val="24"/>
          <w:szCs w:val="24"/>
        </w:rPr>
        <w:br/>
        <w:t>▪ Les manuels utilisateurs, guides d’administration et documentation technique.</w:t>
      </w:r>
      <w:r>
        <w:rPr>
          <w:rFonts w:ascii="Garamond" w:hAnsi="Garamond" w:cstheme="majorBidi"/>
          <w:sz w:val="24"/>
          <w:szCs w:val="24"/>
        </w:rPr>
        <w:br/>
        <w:t>▪ Les supports de formation et le rapport de transfert de compétences.</w:t>
      </w:r>
      <w:r>
        <w:rPr>
          <w:rFonts w:ascii="Garamond" w:hAnsi="Garamond" w:cstheme="majorBidi"/>
          <w:sz w:val="24"/>
          <w:szCs w:val="24"/>
        </w:rPr>
        <w:br/>
        <w:t>▪ Le plan de maintenance et d’assistance post-déploiement.</w:t>
      </w:r>
    </w:p>
    <w:p w:rsidR="003B5EBC" w:rsidRDefault="003B5EBC">
      <w:pPr>
        <w:spacing w:before="80" w:after="80"/>
        <w:rPr>
          <w:rFonts w:ascii="Garamond" w:hAnsi="Garamond" w:cstheme="majorBidi"/>
          <w:sz w:val="24"/>
          <w:szCs w:val="24"/>
        </w:rPr>
      </w:pPr>
    </w:p>
    <w:p w:rsidR="003B5EBC" w:rsidRDefault="00A1518B">
      <w:pPr>
        <w:spacing w:before="80" w:after="80"/>
        <w:rPr>
          <w:rFonts w:ascii="Garamond" w:hAnsi="Garamond" w:cstheme="majorBidi"/>
          <w:sz w:val="24"/>
          <w:szCs w:val="24"/>
          <w:u w:val="single"/>
        </w:rPr>
      </w:pPr>
      <w:r>
        <w:rPr>
          <w:rFonts w:ascii="Garamond" w:hAnsi="Garamond" w:cstheme="majorBidi"/>
          <w:sz w:val="24"/>
          <w:szCs w:val="24"/>
          <w:u w:val="single"/>
        </w:rPr>
        <w:t>Pour le Livrable final — Rapport final d’évaluation</w:t>
      </w:r>
    </w:p>
    <w:p w:rsidR="003B5EBC" w:rsidRDefault="00A1518B">
      <w:pPr>
        <w:spacing w:before="80" w:after="80"/>
        <w:rPr>
          <w:rFonts w:ascii="Garamond" w:hAnsi="Garamond" w:cstheme="majorBidi"/>
          <w:sz w:val="24"/>
          <w:szCs w:val="24"/>
        </w:rPr>
      </w:pPr>
      <w:r>
        <w:rPr>
          <w:rFonts w:ascii="Garamond" w:hAnsi="Garamond" w:cstheme="majorBidi"/>
          <w:sz w:val="24"/>
          <w:szCs w:val="24"/>
        </w:rPr>
        <w:t>Le rapport final devra inclure :</w:t>
      </w:r>
    </w:p>
    <w:p w:rsidR="003B5EBC" w:rsidRDefault="00A1518B">
      <w:pPr>
        <w:spacing w:before="80" w:after="80"/>
        <w:rPr>
          <w:rFonts w:ascii="Garamond" w:hAnsi="Garamond" w:cstheme="majorBidi"/>
          <w:sz w:val="24"/>
          <w:szCs w:val="24"/>
        </w:rPr>
      </w:pPr>
      <w:r>
        <w:rPr>
          <w:rFonts w:ascii="Garamond" w:hAnsi="Garamond" w:cstheme="majorBidi"/>
          <w:sz w:val="24"/>
          <w:szCs w:val="24"/>
        </w:rPr>
        <w:t>▪ Le bilan des activités réalisées et des livrables produits.</w:t>
      </w:r>
      <w:r>
        <w:rPr>
          <w:rFonts w:ascii="Garamond" w:hAnsi="Garamond" w:cstheme="majorBidi"/>
          <w:sz w:val="24"/>
          <w:szCs w:val="24"/>
        </w:rPr>
        <w:br/>
        <w:t>▪ Le niveau d’atteinte des objectifs de la prestation.</w:t>
      </w:r>
      <w:r>
        <w:rPr>
          <w:rFonts w:ascii="Garamond" w:hAnsi="Garamond" w:cstheme="majorBidi"/>
          <w:sz w:val="24"/>
          <w:szCs w:val="24"/>
        </w:rPr>
        <w:br/>
        <w:t>▪ Les difficultés rencontrées et les solutions apportées.</w:t>
      </w:r>
      <w:r>
        <w:rPr>
          <w:rFonts w:ascii="Garamond" w:hAnsi="Garamond" w:cstheme="majorBidi"/>
          <w:sz w:val="24"/>
          <w:szCs w:val="24"/>
        </w:rPr>
        <w:br/>
        <w:t>▪ Les recommandations pour l’exploitation, la maintenance, la sécurisation et l’évolution du système.</w:t>
      </w:r>
    </w:p>
    <w:p w:rsidR="003B5EBC" w:rsidRDefault="003B5EBC">
      <w:pPr>
        <w:spacing w:before="80" w:after="80"/>
        <w:rPr>
          <w:rFonts w:ascii="Garamond" w:hAnsi="Garamond" w:cstheme="majorBidi"/>
          <w:sz w:val="24"/>
          <w:szCs w:val="24"/>
          <w:lang w:val="fr-FR"/>
        </w:rPr>
      </w:pPr>
    </w:p>
    <w:p w:rsidR="003B5EBC" w:rsidRDefault="00A1518B">
      <w:pPr>
        <w:jc w:val="both"/>
        <w:rPr>
          <w:rFonts w:ascii="Garamond" w:hAnsi="Garamond" w:cstheme="majorBidi"/>
          <w:b/>
          <w:bCs/>
          <w:color w:val="1F4E79" w:themeColor="accent1" w:themeShade="80"/>
          <w:sz w:val="24"/>
          <w:szCs w:val="24"/>
          <w:u w:val="single"/>
        </w:rPr>
      </w:pPr>
      <w:r w:rsidRPr="00160BAC">
        <w:rPr>
          <w:rFonts w:ascii="Garamond" w:hAnsi="Garamond" w:cstheme="majorBidi"/>
          <w:b/>
          <w:bCs/>
          <w:color w:val="1F4E79" w:themeColor="accent1" w:themeShade="80"/>
          <w:sz w:val="24"/>
          <w:szCs w:val="24"/>
          <w:u w:val="single"/>
        </w:rPr>
        <w:t>Remarque</w:t>
      </w:r>
      <w:r>
        <w:rPr>
          <w:rFonts w:ascii="Garamond" w:hAnsi="Garamond" w:cstheme="majorBidi"/>
          <w:color w:val="1F4E79" w:themeColor="accent1" w:themeShade="80"/>
          <w:sz w:val="24"/>
          <w:szCs w:val="24"/>
        </w:rPr>
        <w:t xml:space="preserve"> : L’ensemble des livrables devra être produit en français, en versions provisoire et définitive, sous formats électroniques modifiables et non modifiables, notamment Word, PDF, PowerPoint et, le cas échéant, formats techniques ou sources appropriés. Pour les livrables liés au développement informatique, le prestataire devra remettre l’ensemble des éléments nécessaires à l’exploitation, l’administration, la maintenance et l’évolution du système, notamment les codes sources, fichiers sources, scripts, bases de données, schémas de bases de données, documentation technique, identifiants et accès administrateurs, procédures d’installation, de sauvegarde et de restauration, ainsi que tout logiciel, composant ou module développé dans le cadre de la prestation. Ces éléments devront être remis au maître d’ouvrage en version complète, exploitable et transférable, afin de garantir l’autonomie institutionnelle et la durabilité du système après la fin de la prestation.</w:t>
      </w:r>
    </w:p>
    <w:p w:rsidR="003B5EBC" w:rsidRDefault="003B5EBC">
      <w:pPr>
        <w:jc w:val="both"/>
        <w:rPr>
          <w:rFonts w:ascii="Calisto MT" w:eastAsiaTheme="minorEastAsia" w:hAnsi="Calisto MT" w:cstheme="majorHAnsi"/>
          <w:sz w:val="24"/>
          <w:szCs w:val="24"/>
          <w:lang w:eastAsia="zh-CN"/>
        </w:rPr>
      </w:pPr>
    </w:p>
    <w:p w:rsidR="003B5EBC" w:rsidRDefault="00A1518B">
      <w:pPr>
        <w:pStyle w:val="Paragraphedeliste"/>
        <w:numPr>
          <w:ilvl w:val="0"/>
          <w:numId w:val="5"/>
        </w:numPr>
        <w:ind w:left="567" w:hanging="207"/>
        <w:jc w:val="both"/>
        <w:rPr>
          <w:rFonts w:ascii="Garamond" w:hAnsi="Garamond" w:cstheme="majorBidi"/>
          <w:b/>
          <w:bCs/>
          <w:sz w:val="28"/>
          <w:szCs w:val="28"/>
          <w:u w:val="single"/>
        </w:rPr>
      </w:pPr>
      <w:r>
        <w:rPr>
          <w:rFonts w:ascii="Garamond" w:hAnsi="Garamond" w:cstheme="majorBidi"/>
          <w:b/>
          <w:bCs/>
          <w:sz w:val="28"/>
          <w:szCs w:val="28"/>
          <w:u w:val="single"/>
        </w:rPr>
        <w:t>Réunion de travail et ateliers de validation :</w:t>
      </w:r>
    </w:p>
    <w:p w:rsidR="003B5EBC" w:rsidRDefault="003B5EBC">
      <w:pPr>
        <w:pStyle w:val="Paragraphedeliste"/>
        <w:ind w:left="567"/>
        <w:jc w:val="both"/>
        <w:rPr>
          <w:rFonts w:asciiTheme="majorBidi" w:hAnsiTheme="majorBidi" w:cstheme="majorBidi"/>
          <w:b/>
          <w:bCs/>
          <w:sz w:val="26"/>
          <w:szCs w:val="26"/>
          <w:u w:val="single"/>
        </w:rPr>
      </w:pPr>
    </w:p>
    <w:p w:rsidR="003B5EBC" w:rsidRDefault="00A1518B">
      <w:pPr>
        <w:spacing w:before="80" w:after="80"/>
        <w:jc w:val="both"/>
        <w:rPr>
          <w:rFonts w:ascii="Garamond" w:hAnsi="Garamond" w:cstheme="majorBidi"/>
          <w:sz w:val="24"/>
          <w:szCs w:val="24"/>
          <w:lang w:val="fr-FR"/>
        </w:rPr>
      </w:pPr>
      <w:r>
        <w:rPr>
          <w:rFonts w:ascii="Garamond" w:hAnsi="Garamond" w:cstheme="majorBidi"/>
          <w:sz w:val="24"/>
          <w:szCs w:val="24"/>
        </w:rPr>
        <w:t>Le prestataire est tenu de planifier, en étroite concertation avec le maître d’ouvrage, l’ensemble des réunions de travail, réunions de suivi, séances techniques et ateliers de validation nécessaires à la bonne réalisation de la présente consultation.</w:t>
      </w:r>
    </w:p>
    <w:p w:rsidR="003B5EBC" w:rsidRDefault="00A1518B">
      <w:pPr>
        <w:pStyle w:val="NormalWeb"/>
        <w:jc w:val="both"/>
        <w:rPr>
          <w:rFonts w:ascii="Garamond" w:hAnsi="Garamond" w:cstheme="majorBidi"/>
          <w:color w:val="000000" w:themeColor="text1"/>
          <w:lang w:val="zh-CN"/>
        </w:rPr>
      </w:pPr>
      <w:r>
        <w:rPr>
          <w:rFonts w:ascii="Garamond" w:hAnsi="Garamond" w:cstheme="majorBidi"/>
          <w:color w:val="000000" w:themeColor="text1"/>
          <w:lang w:val="zh-CN"/>
        </w:rPr>
        <w:t>Les réunions, ateliers et consultations ci-dessous constituent une proposition indicative visant à assurer la participation active des principales parties prenantes, la validation progressive des livrables et l’appropriation du futur système électronique normalisé de demande de permis APA.</w:t>
      </w:r>
    </w:p>
    <w:p w:rsidR="003B5EBC" w:rsidRDefault="00A1518B">
      <w:pPr>
        <w:pStyle w:val="NormalWeb"/>
        <w:jc w:val="both"/>
        <w:rPr>
          <w:rFonts w:ascii="Garamond" w:hAnsi="Garamond" w:cstheme="majorBidi"/>
          <w:b/>
          <w:bCs/>
          <w:color w:val="000000" w:themeColor="text1"/>
          <w:sz w:val="26"/>
          <w:szCs w:val="26"/>
          <w:lang w:val="zh-CN"/>
        </w:rPr>
      </w:pPr>
      <w:r>
        <w:rPr>
          <w:rFonts w:ascii="Garamond" w:hAnsi="Garamond" w:cstheme="majorBidi"/>
          <w:b/>
          <w:bCs/>
          <w:color w:val="000000" w:themeColor="text1"/>
          <w:sz w:val="26"/>
          <w:szCs w:val="26"/>
          <w:lang w:val="zh-CN"/>
        </w:rPr>
        <w:t>1. Réunions de travail et de suivi</w:t>
      </w:r>
    </w:p>
    <w:p w:rsidR="003B5EBC" w:rsidRDefault="00A1518B">
      <w:pPr>
        <w:pStyle w:val="NormalWeb"/>
        <w:jc w:val="both"/>
        <w:rPr>
          <w:rFonts w:ascii="Garamond" w:hAnsi="Garamond"/>
          <w:lang w:eastAsia="zh-CN"/>
        </w:rPr>
      </w:pPr>
      <w:r>
        <w:rPr>
          <w:rFonts w:ascii="Garamond" w:hAnsi="Garamond"/>
        </w:rPr>
        <w:t xml:space="preserve">Des réunions de travail seront organisées tout au long de la prestation afin de faciliter la collecte des informations, la compréhension des procédures existantes, l’identification des besoins fonctionnels et </w:t>
      </w:r>
      <w:r>
        <w:rPr>
          <w:rFonts w:ascii="Garamond" w:hAnsi="Garamond"/>
        </w:rPr>
        <w:lastRenderedPageBreak/>
        <w:t>techniques, la validation progressive des choix d’architecture, ainsi que le suivi de l’avancement de la plateforme.</w:t>
      </w:r>
    </w:p>
    <w:p w:rsidR="003B5EBC" w:rsidRDefault="00A1518B">
      <w:pPr>
        <w:pStyle w:val="NormalWeb"/>
        <w:jc w:val="both"/>
        <w:rPr>
          <w:rFonts w:ascii="Garamond" w:hAnsi="Garamond"/>
          <w:lang w:eastAsia="zh-CN"/>
        </w:rPr>
      </w:pPr>
      <w:r>
        <w:rPr>
          <w:rFonts w:ascii="Garamond" w:hAnsi="Garamond"/>
        </w:rPr>
        <w:t>Ces réunions réuniront, selon les besoins, le prestataire, l’équipe de gestion du projet APA II, les représentants du Département du Développement Durable, le point focal Nagoya/APA, les représentants des institutions nationales compétentes, ainsi que les responsables ou personnes ressources en charge des systèmes d’information concernés.</w:t>
      </w:r>
    </w:p>
    <w:p w:rsidR="003B5EBC" w:rsidRDefault="00A1518B">
      <w:pPr>
        <w:pStyle w:val="NormalWeb"/>
        <w:jc w:val="both"/>
        <w:rPr>
          <w:rFonts w:ascii="Garamond" w:hAnsi="Garamond"/>
        </w:rPr>
      </w:pPr>
      <w:r>
        <w:rPr>
          <w:rFonts w:ascii="Garamond" w:hAnsi="Garamond"/>
        </w:rPr>
        <w:t xml:space="preserve">Les réunions de suivi se tiendront </w:t>
      </w:r>
      <w:r>
        <w:rPr>
          <w:rStyle w:val="lev"/>
          <w:rFonts w:ascii="Garamond" w:hAnsi="Garamond"/>
          <w:u w:val="single"/>
        </w:rPr>
        <w:t>au minimum une fois par mois pendant toute la durée de la prestation</w:t>
      </w:r>
      <w:r>
        <w:rPr>
          <w:rFonts w:ascii="Garamond" w:hAnsi="Garamond"/>
        </w:rPr>
        <w:t>, et, le cas échéant, à des fréquences plus rapprochées lors des phases critiques, notamment la validation de l’architecture, le développement, les tests et la mise en ligne de la plateforme.</w:t>
      </w:r>
    </w:p>
    <w:p w:rsidR="003B5EBC" w:rsidRDefault="00A1518B">
      <w:pPr>
        <w:pStyle w:val="NormalWeb"/>
        <w:jc w:val="both"/>
        <w:rPr>
          <w:rFonts w:ascii="Garamond" w:hAnsi="Garamond"/>
        </w:rPr>
      </w:pPr>
      <w:r>
        <w:rPr>
          <w:rFonts w:ascii="Garamond" w:hAnsi="Garamond"/>
        </w:rPr>
        <w:t>Le prestataire sera responsable de la préparation des ordres du jour, de l’animation technique des réunions relevant de son périmètre, de la prise de notes, de l’élaboration des comptes rendus et du suivi des décisions et recommandations formulées.</w:t>
      </w:r>
    </w:p>
    <w:p w:rsidR="003B5EBC" w:rsidRDefault="003B5EBC">
      <w:pPr>
        <w:pStyle w:val="NormalWeb"/>
        <w:jc w:val="both"/>
        <w:rPr>
          <w:rFonts w:ascii="Garamond" w:hAnsi="Garamond"/>
        </w:rPr>
      </w:pPr>
    </w:p>
    <w:p w:rsidR="003B5EBC" w:rsidRDefault="00A1518B">
      <w:pPr>
        <w:pStyle w:val="NormalWeb"/>
        <w:jc w:val="both"/>
        <w:rPr>
          <w:rFonts w:ascii="Garamond" w:hAnsi="Garamond"/>
          <w:b/>
          <w:bCs/>
          <w:sz w:val="26"/>
          <w:szCs w:val="26"/>
        </w:rPr>
      </w:pPr>
      <w:r>
        <w:rPr>
          <w:rFonts w:ascii="Garamond" w:hAnsi="Garamond"/>
          <w:b/>
          <w:bCs/>
          <w:sz w:val="26"/>
          <w:szCs w:val="26"/>
          <w:lang w:val="zh-CN"/>
        </w:rPr>
        <w:t>2. Ateliers de validation</w:t>
      </w:r>
    </w:p>
    <w:p w:rsidR="003B5EBC" w:rsidRDefault="00A1518B">
      <w:pPr>
        <w:pStyle w:val="NormalWeb"/>
        <w:jc w:val="both"/>
        <w:rPr>
          <w:rFonts w:ascii="Garamond" w:hAnsi="Garamond" w:cstheme="majorBidi"/>
          <w:color w:val="000000" w:themeColor="text1"/>
          <w:lang w:val="zh-CN"/>
        </w:rPr>
      </w:pPr>
      <w:r>
        <w:rPr>
          <w:rFonts w:ascii="Garamond" w:hAnsi="Garamond" w:cstheme="majorBidi"/>
          <w:color w:val="000000" w:themeColor="text1"/>
          <w:lang w:val="zh-CN"/>
        </w:rPr>
        <w:t xml:space="preserve">Quatre ateliers principaux sont prévus dans le cadre de la présente consultation afin de permettre la présentation, la discussion et la validation des principales étapes de la prestation. Ces ateliers devront être organisés </w:t>
      </w:r>
      <w:r>
        <w:rPr>
          <w:rFonts w:ascii="Garamond" w:hAnsi="Garamond" w:cstheme="majorBidi"/>
          <w:b/>
          <w:bCs/>
          <w:color w:val="000000" w:themeColor="text1"/>
          <w:lang w:val="zh-CN"/>
        </w:rPr>
        <w:t>avant la remise des versions finales des livrables concernés</w:t>
      </w:r>
      <w:r>
        <w:rPr>
          <w:rFonts w:ascii="Garamond" w:hAnsi="Garamond" w:cstheme="majorBidi"/>
          <w:color w:val="000000" w:themeColor="text1"/>
          <w:lang w:val="zh-CN"/>
        </w:rPr>
        <w:t>, afin de permettre au prestataire d’intégrer les observations et recommandations formulées par le maître d’ouvrage et les parties prenantes.</w:t>
      </w:r>
    </w:p>
    <w:p w:rsidR="003B5EBC" w:rsidRDefault="00A1518B">
      <w:pPr>
        <w:pStyle w:val="NormalWeb"/>
        <w:jc w:val="both"/>
        <w:rPr>
          <w:rFonts w:ascii="Garamond" w:hAnsi="Garamond" w:cstheme="majorBidi"/>
          <w:color w:val="000000" w:themeColor="text1"/>
          <w:lang w:val="zh-CN"/>
        </w:rPr>
      </w:pPr>
      <w:r>
        <w:rPr>
          <w:rFonts w:ascii="Garamond" w:hAnsi="Garamond" w:cstheme="majorBidi"/>
          <w:color w:val="000000" w:themeColor="text1"/>
          <w:lang w:val="zh-CN"/>
        </w:rPr>
        <w:t>Ces réunions mobiliseront le prestataire, le maître d’ouvrage, le PNUD, les représentants du Département du Développement Durable, le point focal Nagoya/APA, les institutions nationales compétentes et, le cas échéant, les autres acteurs concernés par le processus d’accès aux ressources génétiques.</w:t>
      </w:r>
    </w:p>
    <w:p w:rsidR="003B5EBC" w:rsidRDefault="00A1518B">
      <w:pPr>
        <w:pStyle w:val="NormalWeb"/>
        <w:jc w:val="both"/>
        <w:rPr>
          <w:rFonts w:ascii="Garamond" w:hAnsi="Garamond" w:cstheme="majorBidi"/>
          <w:color w:val="1F3864" w:themeColor="accent5" w:themeShade="80"/>
        </w:rPr>
      </w:pPr>
      <w:r>
        <w:rPr>
          <w:rFonts w:ascii="Garamond" w:hAnsi="Garamond" w:cstheme="majorBidi"/>
          <w:color w:val="1F3864" w:themeColor="accent5" w:themeShade="80"/>
        </w:rPr>
        <w:t>Atelier 1 — Atelier de lancement et de validation de la méthodologie</w:t>
      </w:r>
    </w:p>
    <w:p w:rsidR="003B5EBC" w:rsidRDefault="00A1518B">
      <w:pPr>
        <w:pStyle w:val="Titre2"/>
        <w:ind w:left="0"/>
        <w:jc w:val="both"/>
        <w:rPr>
          <w:rFonts w:ascii="Garamond" w:hAnsi="Garamond"/>
          <w:b w:val="0"/>
          <w:bCs w:val="0"/>
          <w:lang w:val="zh-CN"/>
        </w:rPr>
      </w:pPr>
      <w:r>
        <w:rPr>
          <w:rFonts w:ascii="Garamond" w:hAnsi="Garamond"/>
          <w:b w:val="0"/>
          <w:bCs w:val="0"/>
          <w:lang w:val="zh-CN"/>
        </w:rPr>
        <w:t xml:space="preserve">Cet atelier sera organisé dans les </w:t>
      </w:r>
      <w:r>
        <w:rPr>
          <w:rFonts w:ascii="Garamond" w:hAnsi="Garamond"/>
          <w:lang w:val="zh-CN"/>
        </w:rPr>
        <w:t>15 jours suivant la signature du contrat</w:t>
      </w:r>
      <w:r>
        <w:rPr>
          <w:rFonts w:ascii="Garamond" w:hAnsi="Garamond"/>
          <w:b w:val="0"/>
          <w:bCs w:val="0"/>
          <w:lang w:val="zh-CN"/>
        </w:rPr>
        <w:t xml:space="preserve">. </w:t>
      </w:r>
    </w:p>
    <w:p w:rsidR="003B5EBC" w:rsidRDefault="003B5EBC">
      <w:pPr>
        <w:pStyle w:val="Titre2"/>
        <w:ind w:left="0"/>
        <w:jc w:val="both"/>
        <w:rPr>
          <w:rFonts w:ascii="Garamond" w:hAnsi="Garamond"/>
          <w:b w:val="0"/>
          <w:bCs w:val="0"/>
          <w:lang w:val="zh-CN"/>
        </w:rPr>
      </w:pPr>
    </w:p>
    <w:p w:rsidR="003B5EBC" w:rsidRDefault="00A1518B">
      <w:pPr>
        <w:pStyle w:val="Titre2"/>
        <w:ind w:left="0"/>
        <w:jc w:val="both"/>
        <w:rPr>
          <w:rFonts w:ascii="Garamond" w:hAnsi="Garamond"/>
          <w:b w:val="0"/>
          <w:bCs w:val="0"/>
          <w:lang w:val="zh-CN"/>
        </w:rPr>
      </w:pPr>
      <w:r>
        <w:rPr>
          <w:rFonts w:ascii="Garamond" w:hAnsi="Garamond"/>
          <w:b w:val="0"/>
          <w:bCs w:val="0"/>
          <w:lang w:val="zh-CN"/>
        </w:rPr>
        <w:t>Il aura pour objectifs de :</w:t>
      </w:r>
    </w:p>
    <w:p w:rsidR="003B5EBC" w:rsidRDefault="00A1518B">
      <w:pPr>
        <w:pStyle w:val="Titre2"/>
        <w:numPr>
          <w:ilvl w:val="1"/>
          <w:numId w:val="31"/>
        </w:numPr>
        <w:ind w:left="426" w:hanging="284"/>
        <w:jc w:val="both"/>
        <w:rPr>
          <w:rFonts w:ascii="Garamond" w:hAnsi="Garamond"/>
          <w:b w:val="0"/>
          <w:bCs w:val="0"/>
        </w:rPr>
      </w:pPr>
      <w:r>
        <w:rPr>
          <w:rFonts w:ascii="Garamond" w:hAnsi="Garamond"/>
          <w:b w:val="0"/>
          <w:bCs w:val="0"/>
        </w:rPr>
        <w:t xml:space="preserve">Présenter la compréhension de la mission par le prestataire ; </w:t>
      </w:r>
    </w:p>
    <w:p w:rsidR="003B5EBC" w:rsidRDefault="00A1518B">
      <w:pPr>
        <w:pStyle w:val="Titre2"/>
        <w:numPr>
          <w:ilvl w:val="1"/>
          <w:numId w:val="31"/>
        </w:numPr>
        <w:ind w:left="426" w:hanging="284"/>
        <w:jc w:val="both"/>
        <w:rPr>
          <w:rFonts w:ascii="Garamond" w:hAnsi="Garamond"/>
          <w:b w:val="0"/>
          <w:bCs w:val="0"/>
        </w:rPr>
      </w:pPr>
      <w:r>
        <w:rPr>
          <w:rFonts w:ascii="Garamond" w:hAnsi="Garamond"/>
          <w:b w:val="0"/>
          <w:bCs w:val="0"/>
        </w:rPr>
        <w:t xml:space="preserve">Discuter et valider la méthodologie de travail ; </w:t>
      </w:r>
    </w:p>
    <w:p w:rsidR="003B5EBC" w:rsidRDefault="00A1518B">
      <w:pPr>
        <w:pStyle w:val="Titre2"/>
        <w:numPr>
          <w:ilvl w:val="1"/>
          <w:numId w:val="31"/>
        </w:numPr>
        <w:ind w:left="426" w:hanging="284"/>
        <w:jc w:val="both"/>
        <w:rPr>
          <w:rFonts w:ascii="Garamond" w:hAnsi="Garamond"/>
          <w:b w:val="0"/>
          <w:bCs w:val="0"/>
        </w:rPr>
      </w:pPr>
      <w:r>
        <w:rPr>
          <w:rFonts w:ascii="Garamond" w:hAnsi="Garamond"/>
          <w:b w:val="0"/>
          <w:bCs w:val="0"/>
        </w:rPr>
        <w:t xml:space="preserve">Valider le chronogramme détaillé de la prestation ; </w:t>
      </w:r>
    </w:p>
    <w:p w:rsidR="003B5EBC" w:rsidRDefault="00A1518B">
      <w:pPr>
        <w:pStyle w:val="Titre2"/>
        <w:numPr>
          <w:ilvl w:val="1"/>
          <w:numId w:val="31"/>
        </w:numPr>
        <w:ind w:left="426" w:hanging="284"/>
        <w:jc w:val="both"/>
        <w:rPr>
          <w:rFonts w:ascii="Garamond" w:hAnsi="Garamond"/>
          <w:b w:val="0"/>
          <w:bCs w:val="0"/>
        </w:rPr>
      </w:pPr>
      <w:r>
        <w:rPr>
          <w:rFonts w:ascii="Garamond" w:hAnsi="Garamond"/>
          <w:b w:val="0"/>
          <w:bCs w:val="0"/>
        </w:rPr>
        <w:t xml:space="preserve">Confirmer les parties prenantes à consulter ; </w:t>
      </w:r>
    </w:p>
    <w:p w:rsidR="003B5EBC" w:rsidRDefault="00A1518B">
      <w:pPr>
        <w:pStyle w:val="Titre2"/>
        <w:numPr>
          <w:ilvl w:val="1"/>
          <w:numId w:val="31"/>
        </w:numPr>
        <w:ind w:left="426" w:hanging="284"/>
        <w:jc w:val="both"/>
        <w:rPr>
          <w:rFonts w:ascii="Garamond" w:hAnsi="Garamond"/>
          <w:b w:val="0"/>
          <w:bCs w:val="0"/>
        </w:rPr>
      </w:pPr>
      <w:r>
        <w:rPr>
          <w:rFonts w:ascii="Garamond" w:hAnsi="Garamond"/>
          <w:b w:val="0"/>
          <w:bCs w:val="0"/>
        </w:rPr>
        <w:t xml:space="preserve">Valider les outils de collecte et d’analyse ; </w:t>
      </w:r>
    </w:p>
    <w:p w:rsidR="003B5EBC" w:rsidRDefault="00A1518B">
      <w:pPr>
        <w:pStyle w:val="Titre2"/>
        <w:numPr>
          <w:ilvl w:val="1"/>
          <w:numId w:val="31"/>
        </w:numPr>
        <w:ind w:left="426" w:hanging="284"/>
        <w:jc w:val="both"/>
        <w:rPr>
          <w:rFonts w:ascii="Garamond" w:hAnsi="Garamond"/>
          <w:b w:val="0"/>
          <w:bCs w:val="0"/>
          <w:lang w:val="zh-CN"/>
        </w:rPr>
      </w:pPr>
      <w:r>
        <w:rPr>
          <w:rFonts w:ascii="Garamond" w:hAnsi="Garamond"/>
          <w:b w:val="0"/>
          <w:bCs w:val="0"/>
          <w:lang w:val="zh-CN"/>
        </w:rPr>
        <w:t>Préciser les modalités de coordination et de validation des livrables.</w:t>
      </w:r>
    </w:p>
    <w:p w:rsidR="003B5EBC" w:rsidRDefault="003B5EBC">
      <w:pPr>
        <w:pStyle w:val="Titre2"/>
        <w:ind w:left="0"/>
        <w:rPr>
          <w:rFonts w:ascii="Garamond" w:hAnsi="Garamond"/>
        </w:rPr>
      </w:pPr>
    </w:p>
    <w:p w:rsidR="003B5EBC" w:rsidRPr="00C00FCA" w:rsidRDefault="00A1518B" w:rsidP="00C00FCA">
      <w:pPr>
        <w:pStyle w:val="Titre2"/>
        <w:ind w:left="0"/>
        <w:jc w:val="both"/>
        <w:rPr>
          <w:rFonts w:ascii="Garamond" w:hAnsi="Garamond"/>
          <w:b w:val="0"/>
          <w:bCs w:val="0"/>
        </w:rPr>
      </w:pPr>
      <w:r>
        <w:rPr>
          <w:rFonts w:ascii="Garamond" w:hAnsi="Garamond"/>
          <w:b w:val="0"/>
          <w:bCs w:val="0"/>
          <w:lang w:val="zh-CN"/>
        </w:rPr>
        <w:t xml:space="preserve">Cet atelier s’appuiera sur le Livrable 0 — Rapport de démarrage / Méthodologie de travail, </w:t>
      </w:r>
      <w:r>
        <w:rPr>
          <w:rFonts w:ascii="Garamond" w:hAnsi="Garamond"/>
          <w:lang w:val="zh-CN"/>
        </w:rPr>
        <w:t>dont une version provisoire devra être partagée avant la tenue de l’atelier.</w:t>
      </w:r>
      <w:r>
        <w:rPr>
          <w:rFonts w:ascii="Garamond" w:hAnsi="Garamond"/>
          <w:b w:val="0"/>
          <w:bCs w:val="0"/>
          <w:lang w:val="zh-CN"/>
        </w:rPr>
        <w:t xml:space="preserve"> La version finale du L0 sera transmise après intégration des observations formulées lors de l’atelier.</w:t>
      </w:r>
    </w:p>
    <w:p w:rsidR="003B5EBC" w:rsidRDefault="00A1518B">
      <w:pPr>
        <w:pStyle w:val="NormalWeb"/>
        <w:jc w:val="both"/>
        <w:rPr>
          <w:rFonts w:ascii="Garamond" w:hAnsi="Garamond" w:cstheme="majorBidi"/>
          <w:color w:val="1F3864" w:themeColor="accent5" w:themeShade="80"/>
          <w:lang w:val="zh-CN"/>
        </w:rPr>
      </w:pPr>
      <w:r>
        <w:rPr>
          <w:rFonts w:ascii="Garamond" w:hAnsi="Garamond" w:cstheme="majorBidi"/>
          <w:color w:val="1F3864" w:themeColor="accent5" w:themeShade="80"/>
          <w:lang w:val="zh-CN"/>
        </w:rPr>
        <w:lastRenderedPageBreak/>
        <w:t>Atelier 2 — Atelier de validation de l’analyse juridique, institutionnelle et comparative</w:t>
      </w:r>
    </w:p>
    <w:p w:rsidR="003B5EBC" w:rsidRDefault="00A1518B">
      <w:pPr>
        <w:pStyle w:val="NormalWeb"/>
        <w:jc w:val="both"/>
        <w:rPr>
          <w:rFonts w:ascii="Garamond" w:hAnsi="Garamond" w:cstheme="majorBidi"/>
          <w:color w:val="000000" w:themeColor="text1"/>
          <w:lang w:val="zh-CN"/>
        </w:rPr>
      </w:pPr>
      <w:r>
        <w:rPr>
          <w:rFonts w:ascii="Garamond" w:hAnsi="Garamond" w:cstheme="majorBidi"/>
          <w:color w:val="000000" w:themeColor="text1"/>
          <w:lang w:val="zh-CN"/>
        </w:rPr>
        <w:t>Cet atelier sera organisé avant la finalisation des livrables de la Mission 1 relatifs à l’analyse juridique, à la cartographie institutionnelle et au benchmark national et international.</w:t>
      </w:r>
    </w:p>
    <w:p w:rsidR="003B5EBC" w:rsidRDefault="00A1518B">
      <w:pPr>
        <w:pStyle w:val="NormalWeb"/>
        <w:jc w:val="both"/>
        <w:rPr>
          <w:rFonts w:ascii="Garamond" w:hAnsi="Garamond" w:cstheme="majorBidi"/>
          <w:color w:val="000000" w:themeColor="text1"/>
          <w:lang w:val="zh-CN"/>
        </w:rPr>
      </w:pPr>
      <w:r>
        <w:rPr>
          <w:rFonts w:ascii="Garamond" w:hAnsi="Garamond" w:cstheme="majorBidi"/>
          <w:color w:val="000000" w:themeColor="text1"/>
          <w:lang w:val="zh-CN"/>
        </w:rPr>
        <w:t>Il aura pour objectifs de :</w:t>
      </w:r>
    </w:p>
    <w:p w:rsidR="003B5EBC" w:rsidRDefault="00A1518B">
      <w:pPr>
        <w:pStyle w:val="NormalWeb"/>
        <w:numPr>
          <w:ilvl w:val="0"/>
          <w:numId w:val="32"/>
        </w:numPr>
        <w:jc w:val="both"/>
        <w:rPr>
          <w:rFonts w:ascii="Garamond" w:hAnsi="Garamond" w:cstheme="majorBidi"/>
          <w:color w:val="000000" w:themeColor="text1"/>
        </w:rPr>
      </w:pPr>
      <w:r>
        <w:rPr>
          <w:rFonts w:ascii="Garamond" w:hAnsi="Garamond" w:cstheme="majorBidi"/>
          <w:color w:val="000000" w:themeColor="text1"/>
        </w:rPr>
        <w:t xml:space="preserve">Présenter les résultats de la décortication du </w:t>
      </w:r>
      <w:hyperlink r:id="rId22" w:history="1">
        <w:r>
          <w:rPr>
            <w:rStyle w:val="Lienhypertexte"/>
            <w:rFonts w:ascii="Garamond" w:hAnsi="Garamond"/>
          </w:rPr>
          <w:t>Cadre r</w:t>
        </w:r>
        <w:r>
          <w:rPr>
            <w:rStyle w:val="Lienhypertexte"/>
            <w:rFonts w:ascii="Garamond" w:eastAsia="Malgun Gothic" w:hAnsi="Garamond" w:cs="Malgun Gothic"/>
          </w:rPr>
          <w:t>é</w:t>
        </w:r>
        <w:r>
          <w:rPr>
            <w:rStyle w:val="Lienhypertexte"/>
            <w:rFonts w:ascii="Garamond" w:hAnsi="Garamond"/>
          </w:rPr>
          <w:t>glementaire national de l'APA</w:t>
        </w:r>
      </w:hyperlink>
      <w:r>
        <w:rPr>
          <w:rFonts w:ascii="Garamond" w:hAnsi="Garamond" w:cstheme="majorBidi"/>
          <w:color w:val="000000" w:themeColor="text1"/>
        </w:rPr>
        <w:t xml:space="preserve">; </w:t>
      </w:r>
    </w:p>
    <w:p w:rsidR="003B5EBC" w:rsidRDefault="00A1518B">
      <w:pPr>
        <w:pStyle w:val="NormalWeb"/>
        <w:numPr>
          <w:ilvl w:val="0"/>
          <w:numId w:val="32"/>
        </w:numPr>
        <w:jc w:val="both"/>
        <w:rPr>
          <w:rFonts w:ascii="Garamond" w:hAnsi="Garamond" w:cstheme="majorBidi"/>
          <w:color w:val="000000" w:themeColor="text1"/>
        </w:rPr>
      </w:pPr>
      <w:r>
        <w:rPr>
          <w:rFonts w:ascii="Garamond" w:hAnsi="Garamond" w:cstheme="majorBidi"/>
          <w:color w:val="000000" w:themeColor="text1"/>
        </w:rPr>
        <w:t xml:space="preserve">Discuter la cartographie des procédures existantes et des responsabilités institutionnelles ; </w:t>
      </w:r>
    </w:p>
    <w:p w:rsidR="003B5EBC" w:rsidRDefault="00A1518B">
      <w:pPr>
        <w:pStyle w:val="NormalWeb"/>
        <w:numPr>
          <w:ilvl w:val="0"/>
          <w:numId w:val="32"/>
        </w:numPr>
        <w:jc w:val="both"/>
        <w:rPr>
          <w:rFonts w:ascii="Garamond" w:hAnsi="Garamond" w:cstheme="majorBidi"/>
          <w:color w:val="000000" w:themeColor="text1"/>
        </w:rPr>
      </w:pPr>
      <w:r>
        <w:rPr>
          <w:rFonts w:ascii="Garamond" w:hAnsi="Garamond" w:cstheme="majorBidi"/>
          <w:color w:val="000000" w:themeColor="text1"/>
        </w:rPr>
        <w:t xml:space="preserve">Présenter les résultats du benchmark national et international ; </w:t>
      </w:r>
    </w:p>
    <w:p w:rsidR="003B5EBC" w:rsidRDefault="00A1518B">
      <w:pPr>
        <w:pStyle w:val="NormalWeb"/>
        <w:numPr>
          <w:ilvl w:val="0"/>
          <w:numId w:val="32"/>
        </w:numPr>
        <w:jc w:val="both"/>
        <w:rPr>
          <w:rFonts w:ascii="Garamond" w:hAnsi="Garamond" w:cstheme="majorBidi"/>
          <w:color w:val="000000" w:themeColor="text1"/>
        </w:rPr>
      </w:pPr>
      <w:r>
        <w:rPr>
          <w:rFonts w:ascii="Garamond" w:hAnsi="Garamond" w:cstheme="majorBidi"/>
          <w:color w:val="000000" w:themeColor="text1"/>
        </w:rPr>
        <w:t xml:space="preserve">Examiner les enseignements tirés de l’expérience du Cameroun et d’autres expériences pertinentes ; </w:t>
      </w:r>
    </w:p>
    <w:p w:rsidR="003B5EBC" w:rsidRDefault="00A1518B">
      <w:pPr>
        <w:pStyle w:val="NormalWeb"/>
        <w:numPr>
          <w:ilvl w:val="0"/>
          <w:numId w:val="32"/>
        </w:numPr>
        <w:jc w:val="both"/>
        <w:rPr>
          <w:rFonts w:ascii="Garamond" w:hAnsi="Garamond" w:cstheme="majorBidi"/>
          <w:color w:val="000000" w:themeColor="text1"/>
        </w:rPr>
      </w:pPr>
      <w:r>
        <w:rPr>
          <w:rFonts w:ascii="Garamond" w:hAnsi="Garamond" w:cstheme="majorBidi"/>
          <w:color w:val="000000" w:themeColor="text1"/>
        </w:rPr>
        <w:t xml:space="preserve">Valider les recommandations à prendre en compte pour la conception du futur système ; </w:t>
      </w:r>
    </w:p>
    <w:p w:rsidR="003B5EBC" w:rsidRDefault="00A1518B">
      <w:pPr>
        <w:pStyle w:val="NormalWeb"/>
        <w:numPr>
          <w:ilvl w:val="0"/>
          <w:numId w:val="32"/>
        </w:numPr>
        <w:jc w:val="both"/>
        <w:rPr>
          <w:rFonts w:ascii="Garamond" w:hAnsi="Garamond" w:cstheme="majorBidi"/>
          <w:color w:val="000000" w:themeColor="text1"/>
          <w:lang w:val="zh-CN"/>
        </w:rPr>
      </w:pPr>
      <w:r>
        <w:rPr>
          <w:rFonts w:ascii="Garamond" w:hAnsi="Garamond" w:cstheme="majorBidi"/>
          <w:color w:val="000000" w:themeColor="text1"/>
          <w:lang w:val="zh-CN"/>
        </w:rPr>
        <w:t>Recueillir les observations des parties prenantes avant la remise des versions finales des livrables de la Mission 1.</w:t>
      </w:r>
    </w:p>
    <w:p w:rsidR="003B5EBC" w:rsidRDefault="00A1518B">
      <w:pPr>
        <w:pStyle w:val="Titre2"/>
        <w:ind w:left="0"/>
        <w:jc w:val="both"/>
        <w:rPr>
          <w:rFonts w:ascii="Garamond" w:hAnsi="Garamond"/>
          <w:b w:val="0"/>
          <w:bCs w:val="0"/>
          <w:lang w:val="zh-CN"/>
        </w:rPr>
      </w:pPr>
      <w:r>
        <w:rPr>
          <w:rFonts w:ascii="Garamond" w:hAnsi="Garamond"/>
          <w:b w:val="0"/>
          <w:bCs w:val="0"/>
          <w:lang w:val="zh-CN"/>
        </w:rPr>
        <w:t xml:space="preserve">Le prestataire devra soumettre les versions provisoires des livrables concernés au maître d’ouvrage pour un examen initial de </w:t>
      </w:r>
      <w:r>
        <w:rPr>
          <w:rFonts w:ascii="Garamond" w:hAnsi="Garamond"/>
          <w:lang w:val="zh-CN"/>
        </w:rPr>
        <w:t>10 jours ouvrables avant la tenue de l’atelier</w:t>
      </w:r>
      <w:r>
        <w:rPr>
          <w:rFonts w:ascii="Garamond" w:hAnsi="Garamond"/>
          <w:b w:val="0"/>
          <w:bCs w:val="0"/>
          <w:lang w:val="zh-CN"/>
        </w:rPr>
        <w:t xml:space="preserve">. </w:t>
      </w:r>
    </w:p>
    <w:p w:rsidR="003B5EBC" w:rsidRDefault="003B5EBC">
      <w:pPr>
        <w:pStyle w:val="Titre2"/>
        <w:ind w:left="0"/>
        <w:jc w:val="both"/>
        <w:rPr>
          <w:rFonts w:ascii="Garamond" w:hAnsi="Garamond"/>
          <w:b w:val="0"/>
          <w:bCs w:val="0"/>
          <w:lang w:val="zh-CN"/>
        </w:rPr>
      </w:pPr>
    </w:p>
    <w:p w:rsidR="003B5EBC" w:rsidRDefault="003B5EBC">
      <w:pPr>
        <w:pStyle w:val="Titre2"/>
        <w:ind w:left="0"/>
        <w:jc w:val="both"/>
        <w:rPr>
          <w:rFonts w:ascii="Garamond" w:hAnsi="Garamond"/>
          <w:b w:val="0"/>
          <w:bCs w:val="0"/>
          <w:lang w:val="zh-CN"/>
        </w:rPr>
      </w:pPr>
    </w:p>
    <w:p w:rsidR="003B5EBC" w:rsidRDefault="00A1518B">
      <w:pPr>
        <w:pStyle w:val="Titre2"/>
        <w:ind w:left="0"/>
        <w:jc w:val="both"/>
        <w:rPr>
          <w:rFonts w:ascii="Garamond" w:hAnsi="Garamond"/>
          <w:b w:val="0"/>
          <w:bCs w:val="0"/>
          <w:color w:val="002060"/>
          <w:lang w:val="zh-CN"/>
        </w:rPr>
      </w:pPr>
      <w:r>
        <w:rPr>
          <w:rFonts w:ascii="Garamond" w:hAnsi="Garamond"/>
          <w:b w:val="0"/>
          <w:bCs w:val="0"/>
          <w:color w:val="002060"/>
          <w:lang w:val="zh-CN"/>
        </w:rPr>
        <w:t>Atelier 3 — Atelier de validation de l’architecture fonctionnelle, technique et réglementaire du système</w:t>
      </w:r>
    </w:p>
    <w:p w:rsidR="003B5EBC" w:rsidRDefault="003B5EBC">
      <w:pPr>
        <w:pStyle w:val="Titre2"/>
        <w:ind w:left="0"/>
        <w:jc w:val="both"/>
        <w:rPr>
          <w:rFonts w:ascii="Garamond" w:hAnsi="Garamond"/>
          <w:b w:val="0"/>
          <w:bCs w:val="0"/>
          <w:color w:val="002060"/>
          <w:lang w:val="zh-CN"/>
        </w:rPr>
      </w:pPr>
    </w:p>
    <w:p w:rsidR="003B5EBC" w:rsidRDefault="00A1518B">
      <w:pPr>
        <w:pStyle w:val="Titre2"/>
        <w:ind w:left="0"/>
        <w:jc w:val="both"/>
        <w:rPr>
          <w:rFonts w:ascii="Garamond" w:hAnsi="Garamond"/>
          <w:b w:val="0"/>
          <w:bCs w:val="0"/>
          <w:color w:val="000000" w:themeColor="text1"/>
          <w:lang w:val="zh-CN"/>
        </w:rPr>
      </w:pPr>
      <w:r>
        <w:rPr>
          <w:rFonts w:ascii="Garamond" w:hAnsi="Garamond"/>
          <w:b w:val="0"/>
          <w:bCs w:val="0"/>
          <w:color w:val="000000" w:themeColor="text1"/>
          <w:lang w:val="zh-CN"/>
        </w:rPr>
        <w:t>Cet atelier sera organisé avant la finalisation des livrables de la Mission 2 et avant le lancement du développement complet de la plateforme électronique.</w:t>
      </w:r>
    </w:p>
    <w:p w:rsidR="003B5EBC" w:rsidRDefault="003B5EBC">
      <w:pPr>
        <w:pStyle w:val="Titre2"/>
        <w:ind w:left="0"/>
        <w:jc w:val="both"/>
        <w:rPr>
          <w:rFonts w:ascii="Garamond" w:hAnsi="Garamond"/>
          <w:b w:val="0"/>
          <w:bCs w:val="0"/>
          <w:color w:val="000000" w:themeColor="text1"/>
        </w:rPr>
      </w:pPr>
    </w:p>
    <w:p w:rsidR="003B5EBC" w:rsidRDefault="00A1518B">
      <w:pPr>
        <w:pStyle w:val="Titre2"/>
        <w:ind w:left="0"/>
        <w:jc w:val="both"/>
        <w:rPr>
          <w:rFonts w:ascii="Garamond" w:hAnsi="Garamond"/>
          <w:b w:val="0"/>
          <w:bCs w:val="0"/>
          <w:color w:val="000000" w:themeColor="text1"/>
          <w:lang w:val="zh-CN"/>
        </w:rPr>
      </w:pPr>
      <w:r>
        <w:rPr>
          <w:rFonts w:ascii="Garamond" w:hAnsi="Garamond"/>
          <w:b w:val="0"/>
          <w:bCs w:val="0"/>
          <w:color w:val="000000" w:themeColor="text1"/>
          <w:lang w:val="zh-CN"/>
        </w:rPr>
        <w:t>Il aura pour objectifs de :</w:t>
      </w:r>
    </w:p>
    <w:p w:rsidR="003B5EBC" w:rsidRDefault="00A1518B">
      <w:pPr>
        <w:pStyle w:val="Titre2"/>
        <w:numPr>
          <w:ilvl w:val="0"/>
          <w:numId w:val="33"/>
        </w:numPr>
        <w:tabs>
          <w:tab w:val="clear" w:pos="720"/>
          <w:tab w:val="left" w:pos="567"/>
        </w:tabs>
        <w:ind w:left="567" w:hanging="283"/>
        <w:jc w:val="both"/>
        <w:rPr>
          <w:rFonts w:ascii="Garamond" w:hAnsi="Garamond"/>
          <w:b w:val="0"/>
          <w:bCs w:val="0"/>
          <w:color w:val="000000" w:themeColor="text1"/>
        </w:rPr>
      </w:pPr>
      <w:r>
        <w:rPr>
          <w:rFonts w:ascii="Garamond" w:hAnsi="Garamond"/>
          <w:b w:val="0"/>
          <w:bCs w:val="0"/>
          <w:color w:val="000000" w:themeColor="text1"/>
        </w:rPr>
        <w:t xml:space="preserve">Présenter le cahier des charges fonctionnel et technique ; </w:t>
      </w:r>
    </w:p>
    <w:p w:rsidR="003B5EBC" w:rsidRDefault="00A1518B">
      <w:pPr>
        <w:pStyle w:val="Titre2"/>
        <w:numPr>
          <w:ilvl w:val="0"/>
          <w:numId w:val="33"/>
        </w:numPr>
        <w:tabs>
          <w:tab w:val="clear" w:pos="720"/>
          <w:tab w:val="left" w:pos="567"/>
        </w:tabs>
        <w:ind w:left="567" w:hanging="283"/>
        <w:jc w:val="both"/>
        <w:rPr>
          <w:rFonts w:ascii="Garamond" w:hAnsi="Garamond"/>
          <w:b w:val="0"/>
          <w:bCs w:val="0"/>
          <w:color w:val="000000" w:themeColor="text1"/>
        </w:rPr>
      </w:pPr>
      <w:r>
        <w:rPr>
          <w:rFonts w:ascii="Garamond" w:hAnsi="Garamond"/>
          <w:b w:val="0"/>
          <w:bCs w:val="0"/>
          <w:color w:val="000000" w:themeColor="text1"/>
        </w:rPr>
        <w:t xml:space="preserve">Valider les workflows standardisés de traitement des demandes ; </w:t>
      </w:r>
    </w:p>
    <w:p w:rsidR="003B5EBC" w:rsidRDefault="00A1518B">
      <w:pPr>
        <w:pStyle w:val="Titre2"/>
        <w:numPr>
          <w:ilvl w:val="0"/>
          <w:numId w:val="33"/>
        </w:numPr>
        <w:tabs>
          <w:tab w:val="clear" w:pos="720"/>
          <w:tab w:val="left" w:pos="567"/>
        </w:tabs>
        <w:ind w:left="567" w:hanging="283"/>
        <w:jc w:val="both"/>
        <w:rPr>
          <w:rFonts w:ascii="Garamond" w:hAnsi="Garamond"/>
          <w:b w:val="0"/>
          <w:bCs w:val="0"/>
          <w:color w:val="000000" w:themeColor="text1"/>
        </w:rPr>
      </w:pPr>
      <w:r>
        <w:rPr>
          <w:rFonts w:ascii="Garamond" w:hAnsi="Garamond"/>
          <w:b w:val="0"/>
          <w:bCs w:val="0"/>
          <w:color w:val="000000" w:themeColor="text1"/>
        </w:rPr>
        <w:t xml:space="preserve">Examiner les maquettes fonctionnelles et les parcours utilisateurs ; </w:t>
      </w:r>
    </w:p>
    <w:p w:rsidR="003B5EBC" w:rsidRDefault="00A1518B">
      <w:pPr>
        <w:pStyle w:val="Titre2"/>
        <w:numPr>
          <w:ilvl w:val="0"/>
          <w:numId w:val="33"/>
        </w:numPr>
        <w:tabs>
          <w:tab w:val="clear" w:pos="720"/>
          <w:tab w:val="left" w:pos="567"/>
        </w:tabs>
        <w:ind w:left="567" w:hanging="283"/>
        <w:jc w:val="both"/>
        <w:rPr>
          <w:rFonts w:ascii="Garamond" w:hAnsi="Garamond"/>
          <w:b w:val="0"/>
          <w:bCs w:val="0"/>
          <w:color w:val="000000" w:themeColor="text1"/>
        </w:rPr>
      </w:pPr>
      <w:r>
        <w:rPr>
          <w:rFonts w:ascii="Garamond" w:hAnsi="Garamond"/>
          <w:b w:val="0"/>
          <w:bCs w:val="0"/>
          <w:color w:val="000000" w:themeColor="text1"/>
        </w:rPr>
        <w:t xml:space="preserve">Valider les profils utilisateurs, droits d’accès et niveaux d’autorisation ; </w:t>
      </w:r>
    </w:p>
    <w:p w:rsidR="003B5EBC" w:rsidRDefault="00A1518B">
      <w:pPr>
        <w:pStyle w:val="Titre2"/>
        <w:numPr>
          <w:ilvl w:val="0"/>
          <w:numId w:val="33"/>
        </w:numPr>
        <w:tabs>
          <w:tab w:val="clear" w:pos="720"/>
          <w:tab w:val="left" w:pos="567"/>
        </w:tabs>
        <w:ind w:left="567" w:hanging="283"/>
        <w:jc w:val="both"/>
        <w:rPr>
          <w:rFonts w:ascii="Garamond" w:hAnsi="Garamond"/>
          <w:b w:val="0"/>
          <w:bCs w:val="0"/>
          <w:color w:val="000000" w:themeColor="text1"/>
        </w:rPr>
      </w:pPr>
      <w:r>
        <w:rPr>
          <w:rFonts w:ascii="Garamond" w:hAnsi="Garamond"/>
          <w:b w:val="0"/>
          <w:bCs w:val="0"/>
          <w:color w:val="000000" w:themeColor="text1"/>
        </w:rPr>
        <w:t xml:space="preserve">Discuter les exigences d’hébergement auprès du Département du Développement Durable ; </w:t>
      </w:r>
    </w:p>
    <w:p w:rsidR="003B5EBC" w:rsidRDefault="00A1518B">
      <w:pPr>
        <w:pStyle w:val="Titre2"/>
        <w:numPr>
          <w:ilvl w:val="0"/>
          <w:numId w:val="33"/>
        </w:numPr>
        <w:tabs>
          <w:tab w:val="clear" w:pos="720"/>
          <w:tab w:val="left" w:pos="567"/>
        </w:tabs>
        <w:ind w:left="567" w:hanging="283"/>
        <w:jc w:val="both"/>
        <w:rPr>
          <w:rFonts w:ascii="Garamond" w:hAnsi="Garamond"/>
          <w:b w:val="0"/>
          <w:bCs w:val="0"/>
          <w:color w:val="000000" w:themeColor="text1"/>
        </w:rPr>
      </w:pPr>
      <w:r>
        <w:rPr>
          <w:rFonts w:ascii="Garamond" w:hAnsi="Garamond"/>
          <w:b w:val="0"/>
          <w:bCs w:val="0"/>
          <w:color w:val="000000" w:themeColor="text1"/>
        </w:rPr>
        <w:t xml:space="preserve">Examiner la compatibilité du système avec l’environnement informatique du ministère chargé de l’environnement ; </w:t>
      </w:r>
    </w:p>
    <w:p w:rsidR="003B5EBC" w:rsidRDefault="00A1518B">
      <w:pPr>
        <w:pStyle w:val="Titre2"/>
        <w:numPr>
          <w:ilvl w:val="0"/>
          <w:numId w:val="33"/>
        </w:numPr>
        <w:tabs>
          <w:tab w:val="clear" w:pos="720"/>
          <w:tab w:val="left" w:pos="567"/>
        </w:tabs>
        <w:ind w:left="567" w:hanging="283"/>
        <w:jc w:val="both"/>
        <w:rPr>
          <w:rFonts w:ascii="Garamond" w:hAnsi="Garamond"/>
          <w:b w:val="0"/>
          <w:bCs w:val="0"/>
          <w:color w:val="000000" w:themeColor="text1"/>
        </w:rPr>
      </w:pPr>
      <w:r>
        <w:rPr>
          <w:rFonts w:ascii="Garamond" w:hAnsi="Garamond"/>
          <w:b w:val="0"/>
          <w:bCs w:val="0"/>
          <w:color w:val="000000" w:themeColor="text1"/>
        </w:rPr>
        <w:t xml:space="preserve">Valider les besoins d’interopérabilité avec le CHM Biodiversité et les autres plateformes pertinentes ; </w:t>
      </w:r>
    </w:p>
    <w:p w:rsidR="003B5EBC" w:rsidRDefault="00A1518B">
      <w:pPr>
        <w:pStyle w:val="Titre2"/>
        <w:numPr>
          <w:ilvl w:val="0"/>
          <w:numId w:val="33"/>
        </w:numPr>
        <w:tabs>
          <w:tab w:val="clear" w:pos="720"/>
          <w:tab w:val="left" w:pos="567"/>
        </w:tabs>
        <w:ind w:left="567" w:hanging="283"/>
        <w:jc w:val="both"/>
        <w:rPr>
          <w:rFonts w:ascii="Garamond" w:hAnsi="Garamond"/>
          <w:b w:val="0"/>
          <w:bCs w:val="0"/>
          <w:color w:val="000000" w:themeColor="text1"/>
        </w:rPr>
      </w:pPr>
      <w:r>
        <w:rPr>
          <w:rFonts w:ascii="Garamond" w:hAnsi="Garamond"/>
          <w:b w:val="0"/>
          <w:bCs w:val="0"/>
          <w:color w:val="000000" w:themeColor="text1"/>
        </w:rPr>
        <w:t>Recueillir les observations nécessaires avant la finalisation des livrables et le développement de la plateforme.</w:t>
      </w:r>
    </w:p>
    <w:p w:rsidR="003B5EBC" w:rsidRDefault="003B5EBC">
      <w:pPr>
        <w:pStyle w:val="Titre2"/>
        <w:ind w:left="0"/>
        <w:jc w:val="both"/>
        <w:rPr>
          <w:rFonts w:ascii="Garamond" w:hAnsi="Garamond"/>
          <w:b w:val="0"/>
          <w:bCs w:val="0"/>
          <w:color w:val="000000" w:themeColor="text1"/>
        </w:rPr>
      </w:pPr>
    </w:p>
    <w:p w:rsidR="003B5EBC" w:rsidRPr="00C00FCA" w:rsidRDefault="00A1518B" w:rsidP="00C00FCA">
      <w:pPr>
        <w:pStyle w:val="Titre2"/>
        <w:ind w:left="0"/>
        <w:jc w:val="both"/>
        <w:rPr>
          <w:rFonts w:ascii="Garamond" w:hAnsi="Garamond"/>
          <w:b w:val="0"/>
          <w:bCs w:val="0"/>
          <w:color w:val="000000" w:themeColor="text1"/>
        </w:rPr>
      </w:pPr>
      <w:r>
        <w:rPr>
          <w:rFonts w:ascii="Garamond" w:hAnsi="Garamond"/>
          <w:b w:val="0"/>
          <w:bCs w:val="0"/>
          <w:color w:val="000000" w:themeColor="text1"/>
        </w:rPr>
        <w:t xml:space="preserve">Le prestataire devra soumettre les versions provisoires des livrables concernés au maître d’ouvrage pour un examen initial de </w:t>
      </w:r>
      <w:r>
        <w:rPr>
          <w:rFonts w:ascii="Garamond" w:hAnsi="Garamond"/>
          <w:color w:val="000000" w:themeColor="text1"/>
        </w:rPr>
        <w:t>10 jours ouvrables avant la tenue de l’atelier</w:t>
      </w:r>
      <w:r>
        <w:rPr>
          <w:rFonts w:ascii="Garamond" w:hAnsi="Garamond"/>
          <w:b w:val="0"/>
          <w:bCs w:val="0"/>
          <w:color w:val="000000" w:themeColor="text1"/>
        </w:rPr>
        <w:t xml:space="preserve">. </w:t>
      </w:r>
    </w:p>
    <w:p w:rsidR="003B5EBC" w:rsidRDefault="003B5EBC">
      <w:pPr>
        <w:pStyle w:val="Titre2"/>
        <w:ind w:left="0"/>
        <w:jc w:val="both"/>
        <w:rPr>
          <w:rFonts w:ascii="Garamond" w:hAnsi="Garamond"/>
          <w:b w:val="0"/>
          <w:bCs w:val="0"/>
          <w:color w:val="002060"/>
          <w:lang w:val="zh-CN"/>
        </w:rPr>
      </w:pPr>
    </w:p>
    <w:p w:rsidR="003B5EBC" w:rsidRDefault="003B5EBC">
      <w:pPr>
        <w:pStyle w:val="Titre2"/>
        <w:ind w:left="0"/>
        <w:jc w:val="both"/>
        <w:rPr>
          <w:rFonts w:ascii="Garamond" w:hAnsi="Garamond"/>
          <w:b w:val="0"/>
          <w:bCs w:val="0"/>
          <w:color w:val="002060"/>
          <w:lang w:val="zh-CN"/>
        </w:rPr>
      </w:pPr>
    </w:p>
    <w:p w:rsidR="003B5EBC" w:rsidRDefault="00A1518B">
      <w:pPr>
        <w:pStyle w:val="Titre2"/>
        <w:ind w:left="0"/>
        <w:jc w:val="both"/>
        <w:rPr>
          <w:rFonts w:ascii="Garamond" w:hAnsi="Garamond"/>
          <w:b w:val="0"/>
          <w:bCs w:val="0"/>
          <w:color w:val="002060"/>
          <w:lang w:val="zh-CN"/>
        </w:rPr>
      </w:pPr>
      <w:r>
        <w:rPr>
          <w:rFonts w:ascii="Garamond" w:hAnsi="Garamond"/>
          <w:b w:val="0"/>
          <w:bCs w:val="0"/>
          <w:color w:val="002060"/>
          <w:lang w:val="zh-CN"/>
        </w:rPr>
        <w:t>Atelier 4 — Atelier de démonstration, validation finale et clôture</w:t>
      </w:r>
    </w:p>
    <w:p w:rsidR="003B5EBC" w:rsidRDefault="003B5EBC">
      <w:pPr>
        <w:pStyle w:val="Titre2"/>
        <w:ind w:left="0"/>
        <w:jc w:val="both"/>
        <w:rPr>
          <w:rFonts w:ascii="Garamond" w:hAnsi="Garamond"/>
          <w:b w:val="0"/>
          <w:bCs w:val="0"/>
          <w:color w:val="002060"/>
          <w:lang w:val="zh-CN"/>
        </w:rPr>
      </w:pPr>
    </w:p>
    <w:p w:rsidR="003B5EBC" w:rsidRDefault="00A1518B">
      <w:pPr>
        <w:pStyle w:val="Titre2"/>
        <w:ind w:left="0"/>
        <w:jc w:val="both"/>
        <w:rPr>
          <w:rFonts w:ascii="Garamond" w:hAnsi="Garamond"/>
          <w:b w:val="0"/>
          <w:bCs w:val="0"/>
          <w:color w:val="000000" w:themeColor="text1"/>
        </w:rPr>
      </w:pPr>
      <w:r>
        <w:rPr>
          <w:rFonts w:ascii="Garamond" w:hAnsi="Garamond"/>
          <w:b w:val="0"/>
          <w:bCs w:val="0"/>
          <w:color w:val="000000" w:themeColor="text1"/>
        </w:rPr>
        <w:t>Cet atelier sera organisé avant la remise de la version finale des livrables de la Mission 3 et du rapport final d’évaluation, après le développement, les tests, la phase pilote et la mise en ligne de la plateforme.</w:t>
      </w:r>
    </w:p>
    <w:p w:rsidR="003B5EBC" w:rsidRDefault="003B5EBC">
      <w:pPr>
        <w:pStyle w:val="Titre2"/>
        <w:jc w:val="both"/>
        <w:rPr>
          <w:rFonts w:ascii="Garamond" w:hAnsi="Garamond"/>
          <w:b w:val="0"/>
          <w:bCs w:val="0"/>
          <w:color w:val="000000" w:themeColor="text1"/>
        </w:rPr>
      </w:pPr>
    </w:p>
    <w:p w:rsidR="003B5EBC" w:rsidRDefault="00A1518B">
      <w:pPr>
        <w:pStyle w:val="Titre2"/>
        <w:ind w:left="0"/>
        <w:jc w:val="both"/>
        <w:rPr>
          <w:rFonts w:ascii="Garamond" w:hAnsi="Garamond"/>
          <w:b w:val="0"/>
          <w:bCs w:val="0"/>
          <w:color w:val="000000" w:themeColor="text1"/>
          <w:lang w:val="zh-CN"/>
        </w:rPr>
      </w:pPr>
      <w:r>
        <w:rPr>
          <w:rFonts w:ascii="Garamond" w:hAnsi="Garamond"/>
          <w:b w:val="0"/>
          <w:bCs w:val="0"/>
          <w:color w:val="000000" w:themeColor="text1"/>
          <w:lang w:val="zh-CN"/>
        </w:rPr>
        <w:t>Il aura pour objectifs de :</w:t>
      </w:r>
    </w:p>
    <w:p w:rsidR="003B5EBC" w:rsidRDefault="00A1518B">
      <w:pPr>
        <w:pStyle w:val="Titre2"/>
        <w:numPr>
          <w:ilvl w:val="0"/>
          <w:numId w:val="34"/>
        </w:numPr>
        <w:jc w:val="both"/>
        <w:rPr>
          <w:rFonts w:ascii="Garamond" w:hAnsi="Garamond"/>
          <w:b w:val="0"/>
          <w:bCs w:val="0"/>
          <w:color w:val="000000" w:themeColor="text1"/>
          <w:lang w:val="zh-CN"/>
        </w:rPr>
      </w:pPr>
      <w:r>
        <w:rPr>
          <w:rFonts w:ascii="Garamond" w:hAnsi="Garamond"/>
          <w:b w:val="0"/>
          <w:bCs w:val="0"/>
          <w:color w:val="000000" w:themeColor="text1"/>
          <w:lang w:val="zh-CN"/>
        </w:rPr>
        <w:t xml:space="preserve">Présenter la plateforme électronique APA développée et mise en ligne ; </w:t>
      </w:r>
    </w:p>
    <w:p w:rsidR="003B5EBC" w:rsidRDefault="00A1518B">
      <w:pPr>
        <w:pStyle w:val="Titre2"/>
        <w:numPr>
          <w:ilvl w:val="0"/>
          <w:numId w:val="34"/>
        </w:numPr>
        <w:jc w:val="both"/>
        <w:rPr>
          <w:rFonts w:ascii="Garamond" w:hAnsi="Garamond"/>
          <w:b w:val="0"/>
          <w:bCs w:val="0"/>
          <w:color w:val="000000" w:themeColor="text1"/>
          <w:lang w:val="zh-CN"/>
        </w:rPr>
      </w:pPr>
      <w:r>
        <w:rPr>
          <w:rFonts w:ascii="Garamond" w:hAnsi="Garamond"/>
          <w:b w:val="0"/>
          <w:bCs w:val="0"/>
          <w:color w:val="000000" w:themeColor="text1"/>
          <w:lang w:val="zh-CN"/>
        </w:rPr>
        <w:t xml:space="preserve">Effectuer une démonstration des principales fonctionnalités ; </w:t>
      </w:r>
    </w:p>
    <w:p w:rsidR="003B5EBC" w:rsidRDefault="00A1518B">
      <w:pPr>
        <w:pStyle w:val="Titre2"/>
        <w:numPr>
          <w:ilvl w:val="0"/>
          <w:numId w:val="34"/>
        </w:numPr>
        <w:jc w:val="both"/>
        <w:rPr>
          <w:rFonts w:ascii="Garamond" w:hAnsi="Garamond"/>
          <w:b w:val="0"/>
          <w:bCs w:val="0"/>
          <w:color w:val="000000" w:themeColor="text1"/>
          <w:lang w:val="zh-CN"/>
        </w:rPr>
      </w:pPr>
      <w:r>
        <w:rPr>
          <w:rFonts w:ascii="Garamond" w:hAnsi="Garamond"/>
          <w:b w:val="0"/>
          <w:bCs w:val="0"/>
          <w:color w:val="000000" w:themeColor="text1"/>
          <w:lang w:val="zh-CN"/>
        </w:rPr>
        <w:t xml:space="preserve">Présenter les résultats des tests fonctionnels, techniques, ergonomiques et sécuritaires ; </w:t>
      </w:r>
    </w:p>
    <w:p w:rsidR="003B5EBC" w:rsidRDefault="00A1518B">
      <w:pPr>
        <w:pStyle w:val="Titre2"/>
        <w:numPr>
          <w:ilvl w:val="0"/>
          <w:numId w:val="34"/>
        </w:numPr>
        <w:jc w:val="both"/>
        <w:rPr>
          <w:rFonts w:ascii="Garamond" w:hAnsi="Garamond"/>
          <w:b w:val="0"/>
          <w:bCs w:val="0"/>
          <w:color w:val="000000" w:themeColor="text1"/>
          <w:lang w:val="zh-CN"/>
        </w:rPr>
      </w:pPr>
      <w:r>
        <w:rPr>
          <w:rFonts w:ascii="Garamond" w:hAnsi="Garamond"/>
          <w:b w:val="0"/>
          <w:bCs w:val="0"/>
          <w:color w:val="000000" w:themeColor="text1"/>
          <w:lang w:val="zh-CN"/>
        </w:rPr>
        <w:t xml:space="preserve">Présenter les ajustements effectués à la suite de la phase pilote ; </w:t>
      </w:r>
    </w:p>
    <w:p w:rsidR="003B5EBC" w:rsidRDefault="00A1518B">
      <w:pPr>
        <w:pStyle w:val="Titre2"/>
        <w:numPr>
          <w:ilvl w:val="0"/>
          <w:numId w:val="34"/>
        </w:numPr>
        <w:jc w:val="both"/>
        <w:rPr>
          <w:rFonts w:ascii="Garamond" w:hAnsi="Garamond"/>
          <w:b w:val="0"/>
          <w:bCs w:val="0"/>
          <w:color w:val="000000" w:themeColor="text1"/>
          <w:lang w:val="zh-CN"/>
        </w:rPr>
      </w:pPr>
      <w:r>
        <w:rPr>
          <w:rFonts w:ascii="Garamond" w:hAnsi="Garamond"/>
          <w:b w:val="0"/>
          <w:bCs w:val="0"/>
          <w:color w:val="000000" w:themeColor="text1"/>
          <w:lang w:val="zh-CN"/>
        </w:rPr>
        <w:t xml:space="preserve">Valider les manuels, guides d’utilisation et supports de formation ; </w:t>
      </w:r>
    </w:p>
    <w:p w:rsidR="003B5EBC" w:rsidRDefault="00A1518B">
      <w:pPr>
        <w:pStyle w:val="Titre2"/>
        <w:numPr>
          <w:ilvl w:val="0"/>
          <w:numId w:val="34"/>
        </w:numPr>
        <w:jc w:val="both"/>
        <w:rPr>
          <w:rFonts w:ascii="Garamond" w:hAnsi="Garamond"/>
          <w:b w:val="0"/>
          <w:bCs w:val="0"/>
          <w:color w:val="000000" w:themeColor="text1"/>
          <w:lang w:val="zh-CN"/>
        </w:rPr>
      </w:pPr>
      <w:r>
        <w:rPr>
          <w:rFonts w:ascii="Garamond" w:hAnsi="Garamond"/>
          <w:b w:val="0"/>
          <w:bCs w:val="0"/>
          <w:color w:val="000000" w:themeColor="text1"/>
          <w:lang w:val="zh-CN"/>
        </w:rPr>
        <w:t xml:space="preserve">Présenter les résultats des sessions de formation et du transfert de compétences ; </w:t>
      </w:r>
    </w:p>
    <w:p w:rsidR="003B5EBC" w:rsidRDefault="00A1518B">
      <w:pPr>
        <w:pStyle w:val="Titre2"/>
        <w:numPr>
          <w:ilvl w:val="0"/>
          <w:numId w:val="34"/>
        </w:numPr>
        <w:jc w:val="both"/>
        <w:rPr>
          <w:rFonts w:ascii="Garamond" w:hAnsi="Garamond"/>
          <w:b w:val="0"/>
          <w:bCs w:val="0"/>
          <w:color w:val="000000" w:themeColor="text1"/>
          <w:lang w:val="zh-CN"/>
        </w:rPr>
      </w:pPr>
      <w:r>
        <w:rPr>
          <w:rFonts w:ascii="Garamond" w:hAnsi="Garamond"/>
          <w:b w:val="0"/>
          <w:bCs w:val="0"/>
          <w:color w:val="000000" w:themeColor="text1"/>
          <w:lang w:val="zh-CN"/>
        </w:rPr>
        <w:t xml:space="preserve">Recueillir les observations finales des parties prenantes ; </w:t>
      </w:r>
    </w:p>
    <w:p w:rsidR="003B5EBC" w:rsidRDefault="00A1518B">
      <w:pPr>
        <w:pStyle w:val="Titre2"/>
        <w:numPr>
          <w:ilvl w:val="0"/>
          <w:numId w:val="34"/>
        </w:numPr>
        <w:jc w:val="both"/>
        <w:rPr>
          <w:rFonts w:ascii="Garamond" w:hAnsi="Garamond"/>
          <w:b w:val="0"/>
          <w:bCs w:val="0"/>
          <w:color w:val="000000" w:themeColor="text1"/>
          <w:lang w:val="zh-CN"/>
        </w:rPr>
      </w:pPr>
      <w:r>
        <w:rPr>
          <w:rFonts w:ascii="Garamond" w:hAnsi="Garamond"/>
          <w:b w:val="0"/>
          <w:bCs w:val="0"/>
          <w:color w:val="000000" w:themeColor="text1"/>
          <w:lang w:val="zh-CN"/>
        </w:rPr>
        <w:t>Présenter les recommandations pour l’exploitation durable, la maintenance et l’évolution future du système.</w:t>
      </w:r>
    </w:p>
    <w:p w:rsidR="003B5EBC" w:rsidRDefault="003B5EBC">
      <w:pPr>
        <w:pStyle w:val="Titre2"/>
        <w:ind w:left="0"/>
        <w:jc w:val="both"/>
        <w:rPr>
          <w:rFonts w:ascii="Garamond" w:hAnsi="Garamond"/>
          <w:b w:val="0"/>
          <w:bCs w:val="0"/>
          <w:color w:val="000000" w:themeColor="text1"/>
        </w:rPr>
      </w:pPr>
    </w:p>
    <w:p w:rsidR="003B5EBC" w:rsidRDefault="00A1518B">
      <w:pPr>
        <w:pStyle w:val="Titre2"/>
        <w:ind w:left="0"/>
        <w:jc w:val="both"/>
        <w:rPr>
          <w:rFonts w:ascii="Garamond" w:hAnsi="Garamond"/>
          <w:b w:val="0"/>
          <w:bCs w:val="0"/>
          <w:color w:val="000000" w:themeColor="text1"/>
        </w:rPr>
      </w:pPr>
      <w:r>
        <w:rPr>
          <w:rFonts w:ascii="Garamond" w:hAnsi="Garamond"/>
          <w:b w:val="0"/>
          <w:bCs w:val="0"/>
          <w:color w:val="000000" w:themeColor="text1"/>
          <w:lang w:val="zh-CN"/>
        </w:rPr>
        <w:t xml:space="preserve">Cet atelier s’appuiera sur les livrables de la Mission 3 ainsi que sur le Livrable final d’évaluation. Les versions provisoires des livrables concernés devront être soumises au maître d’ouvrage </w:t>
      </w:r>
      <w:r>
        <w:rPr>
          <w:rFonts w:ascii="Garamond" w:hAnsi="Garamond"/>
          <w:color w:val="000000" w:themeColor="text1"/>
          <w:lang w:val="zh-CN"/>
        </w:rPr>
        <w:t>10 jours ouvrables avant la tenue de l’atelier</w:t>
      </w:r>
      <w:r>
        <w:rPr>
          <w:rFonts w:ascii="Garamond" w:hAnsi="Garamond"/>
          <w:b w:val="0"/>
          <w:bCs w:val="0"/>
          <w:color w:val="000000" w:themeColor="text1"/>
          <w:lang w:val="zh-CN"/>
        </w:rPr>
        <w:t xml:space="preserve">. </w:t>
      </w:r>
    </w:p>
    <w:p w:rsidR="003B5EBC" w:rsidRDefault="003B5EBC">
      <w:pPr>
        <w:pStyle w:val="Titre2"/>
        <w:ind w:left="0"/>
        <w:rPr>
          <w:rFonts w:ascii="Garamond" w:hAnsi="Garamond"/>
        </w:rPr>
      </w:pPr>
    </w:p>
    <w:p w:rsidR="003B5EBC" w:rsidRDefault="00A1518B">
      <w:pPr>
        <w:pStyle w:val="NormalWeb"/>
        <w:jc w:val="both"/>
        <w:rPr>
          <w:rFonts w:ascii="Garamond" w:hAnsi="Garamond"/>
          <w:b/>
          <w:bCs/>
          <w:sz w:val="26"/>
          <w:szCs w:val="26"/>
        </w:rPr>
      </w:pPr>
      <w:r>
        <w:rPr>
          <w:rFonts w:ascii="Garamond" w:hAnsi="Garamond"/>
          <w:b/>
          <w:bCs/>
          <w:sz w:val="26"/>
          <w:szCs w:val="26"/>
          <w:lang w:val="zh-CN"/>
        </w:rPr>
        <w:t>3. Modalités de validation des livrables</w:t>
      </w:r>
    </w:p>
    <w:p w:rsidR="003B5EBC" w:rsidRDefault="00A1518B">
      <w:pPr>
        <w:pStyle w:val="Titre2"/>
        <w:ind w:left="0"/>
        <w:jc w:val="both"/>
        <w:rPr>
          <w:rFonts w:ascii="Garamond" w:hAnsi="Garamond"/>
          <w:b w:val="0"/>
          <w:bCs w:val="0"/>
          <w:lang w:val="zh-CN"/>
        </w:rPr>
      </w:pPr>
      <w:r>
        <w:rPr>
          <w:rFonts w:ascii="Garamond" w:hAnsi="Garamond"/>
          <w:b w:val="0"/>
          <w:bCs w:val="0"/>
          <w:lang w:val="zh-CN"/>
        </w:rPr>
        <w:t>Pour l’ensemble des livrables, le prestataire soumettra une version provisoire au maître d’ouvrage pour examen et commentaires. Le délai d’examen initial est fixé à 10 jours ouvrables, sauf disposition contraire convenue entre les parties.</w:t>
      </w:r>
    </w:p>
    <w:p w:rsidR="003B5EBC" w:rsidRDefault="003B5EBC">
      <w:pPr>
        <w:pStyle w:val="Titre2"/>
        <w:ind w:left="0"/>
        <w:jc w:val="both"/>
        <w:rPr>
          <w:rFonts w:ascii="Garamond" w:hAnsi="Garamond"/>
          <w:b w:val="0"/>
          <w:bCs w:val="0"/>
          <w:lang w:val="zh-CN"/>
        </w:rPr>
      </w:pPr>
    </w:p>
    <w:p w:rsidR="003B5EBC" w:rsidRDefault="00A1518B">
      <w:pPr>
        <w:pStyle w:val="Titre2"/>
        <w:ind w:left="0"/>
        <w:jc w:val="both"/>
        <w:rPr>
          <w:rFonts w:ascii="Garamond" w:hAnsi="Garamond"/>
          <w:b w:val="0"/>
          <w:bCs w:val="0"/>
          <w:lang w:val="zh-CN"/>
        </w:rPr>
      </w:pPr>
      <w:r>
        <w:rPr>
          <w:rFonts w:ascii="Garamond" w:hAnsi="Garamond"/>
          <w:b w:val="0"/>
          <w:bCs w:val="0"/>
          <w:lang w:val="zh-CN"/>
        </w:rPr>
        <w:t>Les ateliers de validation devront se tenir avant la remise des versions finales des livrables concernés. Le prestataire devra intégrer les observations formulées lors des ateliers et/ou transmises par écrit, puis transmettre une version révisée dans un délai de 7 jours ouvrables après réception des remarques consolidées.</w:t>
      </w:r>
    </w:p>
    <w:p w:rsidR="003B5EBC" w:rsidRDefault="003B5EBC">
      <w:pPr>
        <w:pStyle w:val="Titre2"/>
        <w:ind w:left="0"/>
        <w:jc w:val="both"/>
        <w:rPr>
          <w:rFonts w:ascii="Garamond" w:hAnsi="Garamond"/>
          <w:b w:val="0"/>
          <w:bCs w:val="0"/>
          <w:lang w:val="zh-CN"/>
        </w:rPr>
      </w:pPr>
    </w:p>
    <w:p w:rsidR="003B5EBC" w:rsidRDefault="00A1518B">
      <w:pPr>
        <w:pStyle w:val="Titre2"/>
        <w:ind w:left="0"/>
        <w:jc w:val="both"/>
        <w:rPr>
          <w:rFonts w:ascii="Garamond" w:hAnsi="Garamond"/>
          <w:b w:val="0"/>
          <w:bCs w:val="0"/>
          <w:lang w:val="zh-CN"/>
        </w:rPr>
      </w:pPr>
      <w:r>
        <w:rPr>
          <w:rFonts w:ascii="Garamond" w:hAnsi="Garamond"/>
          <w:b w:val="0"/>
          <w:bCs w:val="0"/>
          <w:lang w:val="zh-CN"/>
        </w:rPr>
        <w:t>La validation définitive des livrables interviendra après prise en compte satisfaisante des observations du maître d’ouvrage et des parties prenantes concernées.</w:t>
      </w:r>
    </w:p>
    <w:p w:rsidR="003B5EBC" w:rsidRDefault="003B5EBC">
      <w:pPr>
        <w:pStyle w:val="Titre2"/>
        <w:ind w:left="0"/>
        <w:rPr>
          <w:rFonts w:ascii="Garamond" w:hAnsi="Garamond"/>
        </w:rPr>
      </w:pPr>
    </w:p>
    <w:p w:rsidR="003B5EBC" w:rsidRDefault="003B5EBC">
      <w:pPr>
        <w:pStyle w:val="Titre2"/>
        <w:ind w:left="0"/>
        <w:rPr>
          <w:rFonts w:ascii="Garamond" w:hAnsi="Garamond"/>
        </w:rPr>
      </w:pPr>
    </w:p>
    <w:p w:rsidR="003B5EBC" w:rsidRDefault="00A1518B">
      <w:pPr>
        <w:pStyle w:val="Titre2"/>
        <w:ind w:left="0"/>
        <w:rPr>
          <w:rFonts w:ascii="Garamond" w:hAnsi="Garamond"/>
          <w:lang w:val="zh-CN"/>
        </w:rPr>
      </w:pPr>
      <w:r>
        <w:rPr>
          <w:rFonts w:ascii="Garamond" w:hAnsi="Garamond"/>
        </w:rPr>
        <w:t>4</w:t>
      </w:r>
      <w:r>
        <w:rPr>
          <w:rFonts w:ascii="Garamond" w:hAnsi="Garamond"/>
          <w:lang w:val="zh-CN"/>
        </w:rPr>
        <w:t>. Note logistique</w:t>
      </w:r>
    </w:p>
    <w:p w:rsidR="003B5EBC" w:rsidRDefault="003B5EBC">
      <w:pPr>
        <w:pStyle w:val="Titre2"/>
        <w:ind w:left="0"/>
        <w:rPr>
          <w:rFonts w:ascii="Garamond" w:hAnsi="Garamond"/>
        </w:rPr>
      </w:pPr>
    </w:p>
    <w:p w:rsidR="003B5EBC" w:rsidRDefault="00A1518B">
      <w:pPr>
        <w:pStyle w:val="Titre2"/>
        <w:ind w:left="0"/>
        <w:jc w:val="both"/>
        <w:rPr>
          <w:rFonts w:ascii="Garamond" w:hAnsi="Garamond"/>
          <w:b w:val="0"/>
          <w:bCs w:val="0"/>
          <w:lang w:val="zh-CN"/>
        </w:rPr>
      </w:pPr>
      <w:r>
        <w:rPr>
          <w:rFonts w:ascii="Garamond" w:hAnsi="Garamond"/>
          <w:b w:val="0"/>
          <w:bCs w:val="0"/>
          <w:lang w:val="zh-CN"/>
        </w:rPr>
        <w:t>Dans le cadre du benchmark international, une mission d’échange technique en présentiel au Cameroun sera organisée afin d’approfondir l’analyse de l’expérience camerounaise en matière de guichet de permis en ligne. Cette mission aura pour objectif de permettre une meilleure compréhension du mécanisme institutionnel, fonctionnel et technique mis en place, ainsi que des conditions de son opérationnalisation.</w:t>
      </w:r>
    </w:p>
    <w:p w:rsidR="003B5EBC" w:rsidRDefault="003B5EBC">
      <w:pPr>
        <w:pStyle w:val="Titre2"/>
        <w:jc w:val="both"/>
        <w:rPr>
          <w:rFonts w:ascii="Garamond" w:hAnsi="Garamond"/>
          <w:b w:val="0"/>
          <w:bCs w:val="0"/>
          <w:lang w:val="zh-CN"/>
        </w:rPr>
      </w:pPr>
    </w:p>
    <w:p w:rsidR="003B5EBC" w:rsidRDefault="00A1518B">
      <w:pPr>
        <w:pStyle w:val="Titre2"/>
        <w:ind w:left="0"/>
        <w:jc w:val="both"/>
        <w:rPr>
          <w:rFonts w:ascii="Garamond" w:hAnsi="Garamond"/>
          <w:b w:val="0"/>
          <w:bCs w:val="0"/>
          <w:lang w:val="zh-CN"/>
        </w:rPr>
      </w:pPr>
      <w:r>
        <w:rPr>
          <w:rFonts w:ascii="Garamond" w:hAnsi="Garamond"/>
          <w:b w:val="0"/>
          <w:bCs w:val="0"/>
          <w:lang w:val="zh-CN"/>
        </w:rPr>
        <w:t>La mission sera organisée pour une durée maximale de deux jours et inclura deux personnes, désignées en concertation avec le maître d’ouvrage.</w:t>
      </w:r>
    </w:p>
    <w:p w:rsidR="003B5EBC" w:rsidRDefault="003B5EBC">
      <w:pPr>
        <w:pStyle w:val="Titre2"/>
        <w:jc w:val="both"/>
        <w:rPr>
          <w:rFonts w:ascii="Garamond" w:hAnsi="Garamond"/>
          <w:b w:val="0"/>
          <w:bCs w:val="0"/>
          <w:lang w:val="zh-CN"/>
        </w:rPr>
      </w:pPr>
    </w:p>
    <w:p w:rsidR="003B5EBC" w:rsidRDefault="00A1518B">
      <w:pPr>
        <w:pStyle w:val="Titre2"/>
        <w:ind w:left="0"/>
        <w:jc w:val="both"/>
        <w:rPr>
          <w:rFonts w:ascii="Garamond" w:hAnsi="Garamond"/>
          <w:b w:val="0"/>
          <w:bCs w:val="0"/>
          <w:lang w:val="zh-CN"/>
        </w:rPr>
      </w:pPr>
      <w:r>
        <w:rPr>
          <w:rFonts w:ascii="Garamond" w:hAnsi="Garamond"/>
          <w:b w:val="0"/>
          <w:bCs w:val="0"/>
          <w:lang w:val="zh-CN"/>
        </w:rPr>
        <w:t>L’offre financière du prestataire devra prévoir la prise en charge du déplacement international des deux personnes au titre de cette mission. Les modalités pratiques, logistiques et financières relatives à cette mission seront précisées et validées préalablement avec le maître d’ouvrage.</w:t>
      </w:r>
    </w:p>
    <w:p w:rsidR="003B5EBC" w:rsidRDefault="003B5EBC">
      <w:pPr>
        <w:jc w:val="both"/>
        <w:rPr>
          <w:rFonts w:ascii="Calisto MT" w:hAnsi="Calisto MT" w:cstheme="majorHAnsi"/>
          <w:b/>
          <w:bCs/>
          <w:sz w:val="24"/>
          <w:szCs w:val="24"/>
        </w:rPr>
      </w:pPr>
    </w:p>
    <w:p w:rsidR="003B5EBC" w:rsidRDefault="00A1518B">
      <w:pPr>
        <w:pStyle w:val="Paragraphedeliste"/>
        <w:numPr>
          <w:ilvl w:val="0"/>
          <w:numId w:val="5"/>
        </w:numPr>
        <w:ind w:left="426" w:hanging="142"/>
        <w:jc w:val="both"/>
        <w:rPr>
          <w:rFonts w:ascii="Garamond" w:hAnsi="Garamond" w:cstheme="majorBidi"/>
          <w:b/>
          <w:bCs/>
          <w:sz w:val="28"/>
          <w:szCs w:val="28"/>
          <w:u w:val="single"/>
        </w:rPr>
      </w:pPr>
      <w:r>
        <w:rPr>
          <w:rFonts w:ascii="Garamond" w:hAnsi="Garamond" w:cstheme="majorBidi"/>
          <w:b/>
          <w:bCs/>
          <w:sz w:val="28"/>
          <w:szCs w:val="28"/>
          <w:u w:val="single"/>
        </w:rPr>
        <w:t xml:space="preserve">Examen et validation des livrables : </w:t>
      </w:r>
    </w:p>
    <w:p w:rsidR="003B5EBC" w:rsidRDefault="003B5EBC">
      <w:pPr>
        <w:pStyle w:val="Paragraphedeliste"/>
        <w:ind w:left="426"/>
        <w:jc w:val="both"/>
        <w:rPr>
          <w:rFonts w:asciiTheme="majorBidi" w:hAnsiTheme="majorBidi" w:cstheme="majorBidi"/>
          <w:b/>
          <w:bCs/>
          <w:sz w:val="18"/>
          <w:szCs w:val="18"/>
          <w:u w:val="single"/>
        </w:rPr>
      </w:pPr>
    </w:p>
    <w:p w:rsidR="003B5EBC" w:rsidRDefault="00A1518B">
      <w:pPr>
        <w:jc w:val="both"/>
        <w:rPr>
          <w:rFonts w:ascii="Garamond" w:hAnsi="Garamond" w:cstheme="majorBidi"/>
          <w:sz w:val="24"/>
          <w:szCs w:val="24"/>
          <w:lang w:val="fr-FR"/>
        </w:rPr>
      </w:pPr>
      <w:r>
        <w:rPr>
          <w:rFonts w:ascii="Garamond" w:hAnsi="Garamond" w:cstheme="majorBidi"/>
          <w:sz w:val="24"/>
          <w:szCs w:val="24"/>
          <w:lang w:val="fr-FR"/>
        </w:rPr>
        <w:t>L’ensemble de la prestation sera suivi par le maître d’ouvrage, à travers le Département du Développement Durable, la coordination nationale du Projet APA II et les structures compétentes concernées, notamment la Direction du Climat et de la Biodiversité.</w:t>
      </w:r>
    </w:p>
    <w:p w:rsidR="003B5EBC" w:rsidRDefault="00A1518B">
      <w:pPr>
        <w:jc w:val="both"/>
        <w:rPr>
          <w:rFonts w:ascii="Garamond" w:hAnsi="Garamond" w:cstheme="majorBidi"/>
          <w:sz w:val="24"/>
          <w:szCs w:val="24"/>
        </w:rPr>
      </w:pPr>
      <w:r>
        <w:rPr>
          <w:rFonts w:ascii="Garamond" w:hAnsi="Garamond" w:cstheme="majorBidi"/>
          <w:sz w:val="24"/>
          <w:szCs w:val="24"/>
        </w:rPr>
        <w:t>L’examen et la validation des livrables se feront en concertation avec l’équipe du projet APA II, le point focal Nagoya/APA, le PNUD, les institutions nationales compétentes concernées par le processus d’accès aux ressources génétiques et, le cas échéant, les personnes ressources en charge des systèmes d’information.</w:t>
      </w:r>
    </w:p>
    <w:p w:rsidR="003B5EBC" w:rsidRDefault="00A1518B">
      <w:pPr>
        <w:jc w:val="both"/>
        <w:rPr>
          <w:rFonts w:ascii="Garamond" w:hAnsi="Garamond" w:cstheme="majorBidi"/>
          <w:sz w:val="24"/>
          <w:szCs w:val="24"/>
        </w:rPr>
      </w:pPr>
      <w:r>
        <w:rPr>
          <w:rFonts w:ascii="Garamond" w:hAnsi="Garamond" w:cstheme="majorBidi"/>
          <w:sz w:val="24"/>
          <w:szCs w:val="24"/>
        </w:rPr>
        <w:t xml:space="preserve">Pour chaque livrable, le prestataire transmettra une version provisoire au maître d’ouvrage pour un examen initial de </w:t>
      </w:r>
      <w:r>
        <w:rPr>
          <w:rFonts w:ascii="Garamond" w:hAnsi="Garamond" w:cstheme="majorBidi"/>
          <w:b/>
          <w:bCs/>
          <w:sz w:val="24"/>
          <w:szCs w:val="24"/>
        </w:rPr>
        <w:t>10 jours ouvrables</w:t>
      </w:r>
      <w:r>
        <w:rPr>
          <w:rFonts w:ascii="Garamond" w:hAnsi="Garamond" w:cstheme="majorBidi"/>
          <w:sz w:val="24"/>
          <w:szCs w:val="24"/>
        </w:rPr>
        <w:t>. Les observations formulées devront être prises en compte avant la transmission ou la présentation du livrable aux parties prenantes concernées.</w:t>
      </w:r>
    </w:p>
    <w:p w:rsidR="003B5EBC" w:rsidRDefault="00A1518B">
      <w:pPr>
        <w:jc w:val="both"/>
        <w:rPr>
          <w:rFonts w:ascii="Garamond" w:hAnsi="Garamond" w:cstheme="majorBidi"/>
          <w:sz w:val="24"/>
          <w:szCs w:val="24"/>
        </w:rPr>
      </w:pPr>
      <w:r>
        <w:rPr>
          <w:rFonts w:ascii="Garamond" w:hAnsi="Garamond" w:cstheme="majorBidi"/>
          <w:sz w:val="24"/>
          <w:szCs w:val="24"/>
        </w:rPr>
        <w:t xml:space="preserve">Les ateliers de validation seront organisés </w:t>
      </w:r>
      <w:r>
        <w:rPr>
          <w:rFonts w:ascii="Garamond" w:hAnsi="Garamond" w:cstheme="majorBidi"/>
          <w:b/>
          <w:bCs/>
          <w:sz w:val="24"/>
          <w:szCs w:val="24"/>
        </w:rPr>
        <w:t>avant la remise des versions finales des livrables concernés</w:t>
      </w:r>
      <w:r>
        <w:rPr>
          <w:rFonts w:ascii="Garamond" w:hAnsi="Garamond" w:cstheme="majorBidi"/>
          <w:sz w:val="24"/>
          <w:szCs w:val="24"/>
        </w:rPr>
        <w:t>, afin de permettre l’intégration des remarques du maître d’ouvrage et des parties prenantes. Le prestataire devra préparer la présentation PowerPoint de chaque atelier et la transmettre préalablement au maître d’ouvrage pour validation.</w:t>
      </w:r>
    </w:p>
    <w:p w:rsidR="003B5EBC" w:rsidRDefault="00A1518B">
      <w:pPr>
        <w:jc w:val="both"/>
        <w:rPr>
          <w:rFonts w:ascii="Garamond" w:hAnsi="Garamond" w:cstheme="majorBidi"/>
          <w:sz w:val="24"/>
          <w:szCs w:val="24"/>
        </w:rPr>
      </w:pPr>
      <w:r>
        <w:rPr>
          <w:rFonts w:ascii="Garamond" w:hAnsi="Garamond" w:cstheme="majorBidi"/>
          <w:sz w:val="24"/>
          <w:szCs w:val="24"/>
        </w:rPr>
        <w:t xml:space="preserve">Le prestataire sera responsable de la prise de notes, de l’élaboration des comptes rendus des ateliers et de l’actualisation des livrables. Les versions révisées devront être transmises dans un délai de </w:t>
      </w:r>
      <w:r>
        <w:rPr>
          <w:rFonts w:ascii="Garamond" w:hAnsi="Garamond" w:cstheme="majorBidi"/>
          <w:b/>
          <w:bCs/>
          <w:sz w:val="24"/>
          <w:szCs w:val="24"/>
        </w:rPr>
        <w:t>7 jours ouvrables</w:t>
      </w:r>
      <w:r>
        <w:rPr>
          <w:rFonts w:ascii="Garamond" w:hAnsi="Garamond" w:cstheme="majorBidi"/>
          <w:sz w:val="24"/>
          <w:szCs w:val="24"/>
        </w:rPr>
        <w:t xml:space="preserve"> après réception des remarques consolidées.</w:t>
      </w:r>
    </w:p>
    <w:p w:rsidR="003B5EBC" w:rsidRDefault="00A1518B">
      <w:pPr>
        <w:jc w:val="both"/>
        <w:rPr>
          <w:rFonts w:ascii="Garamond" w:hAnsi="Garamond" w:cstheme="majorBidi"/>
          <w:sz w:val="24"/>
          <w:szCs w:val="24"/>
        </w:rPr>
      </w:pPr>
      <w:r>
        <w:rPr>
          <w:rFonts w:ascii="Garamond" w:hAnsi="Garamond" w:cstheme="majorBidi"/>
          <w:sz w:val="24"/>
          <w:szCs w:val="24"/>
        </w:rPr>
        <w:t>La validation définitive des livrables interviendra après prise en compte satisfaisante des observations et approbation par le maître d’ouvrage.</w:t>
      </w:r>
    </w:p>
    <w:p w:rsidR="003B5EBC" w:rsidRDefault="003B5EBC">
      <w:pPr>
        <w:jc w:val="both"/>
        <w:rPr>
          <w:rFonts w:ascii="Calisto MT" w:eastAsiaTheme="minorEastAsia" w:hAnsi="Calisto MT" w:cstheme="majorHAnsi"/>
          <w:sz w:val="16"/>
          <w:szCs w:val="16"/>
          <w:lang w:eastAsia="zh-CN"/>
        </w:rPr>
      </w:pPr>
    </w:p>
    <w:p w:rsidR="003B5EBC" w:rsidRDefault="00A1518B">
      <w:pPr>
        <w:pStyle w:val="Paragraphedeliste"/>
        <w:numPr>
          <w:ilvl w:val="0"/>
          <w:numId w:val="5"/>
        </w:numPr>
        <w:ind w:left="567" w:hanging="207"/>
        <w:jc w:val="both"/>
        <w:rPr>
          <w:rFonts w:ascii="Garamond" w:hAnsi="Garamond" w:cstheme="majorBidi"/>
          <w:sz w:val="28"/>
          <w:szCs w:val="28"/>
        </w:rPr>
      </w:pPr>
      <w:r>
        <w:rPr>
          <w:rFonts w:ascii="Garamond" w:hAnsi="Garamond" w:cstheme="majorBidi"/>
          <w:b/>
          <w:bCs/>
          <w:sz w:val="28"/>
          <w:szCs w:val="28"/>
          <w:u w:val="single"/>
        </w:rPr>
        <w:t>Confidentialité et propriété des études </w:t>
      </w:r>
      <w:r>
        <w:rPr>
          <w:rFonts w:ascii="Garamond" w:hAnsi="Garamond" w:cstheme="majorBidi"/>
          <w:b/>
          <w:bCs/>
          <w:sz w:val="28"/>
          <w:szCs w:val="28"/>
        </w:rPr>
        <w:t>:</w:t>
      </w:r>
      <w:r>
        <w:rPr>
          <w:rFonts w:asciiTheme="majorBidi" w:hAnsiTheme="majorBidi" w:cstheme="majorBidi"/>
        </w:rPr>
        <w:t xml:space="preserve"> </w:t>
      </w:r>
    </w:p>
    <w:p w:rsidR="003B5EBC" w:rsidRDefault="00A1518B">
      <w:pPr>
        <w:jc w:val="both"/>
        <w:rPr>
          <w:rFonts w:ascii="Garamond" w:hAnsi="Garamond" w:cstheme="majorBidi"/>
          <w:sz w:val="24"/>
          <w:szCs w:val="24"/>
        </w:rPr>
      </w:pPr>
      <w:r>
        <w:rPr>
          <w:rFonts w:ascii="Garamond" w:hAnsi="Garamond" w:cstheme="majorBidi"/>
          <w:sz w:val="24"/>
          <w:szCs w:val="24"/>
        </w:rPr>
        <w:t>L'attributaire s'engage à maintenir la confidentialité des informations qui lui seront communiquées dans le cadre de cette consultation. Tous les documents et rapports produits par l'attributaire seront la propriété exclusive du Département du Développement Durable, du PNUD, et des parties prenantes désignées par le maître d'ouvrage.</w:t>
      </w:r>
    </w:p>
    <w:p w:rsidR="003B5EBC" w:rsidRDefault="003B5EBC">
      <w:pPr>
        <w:jc w:val="both"/>
        <w:rPr>
          <w:rFonts w:ascii="Calisto MT" w:hAnsi="Calisto MT" w:cstheme="majorHAnsi"/>
          <w:sz w:val="24"/>
          <w:szCs w:val="24"/>
        </w:rPr>
      </w:pPr>
    </w:p>
    <w:p w:rsidR="003B5EBC" w:rsidRDefault="00A1518B">
      <w:pPr>
        <w:pStyle w:val="Paragraphedeliste"/>
        <w:numPr>
          <w:ilvl w:val="0"/>
          <w:numId w:val="5"/>
        </w:numPr>
        <w:ind w:left="567" w:hanging="207"/>
        <w:jc w:val="both"/>
        <w:rPr>
          <w:rFonts w:ascii="Garamond" w:hAnsi="Garamond" w:cstheme="majorBidi"/>
          <w:b/>
          <w:bCs/>
          <w:sz w:val="28"/>
          <w:szCs w:val="28"/>
          <w:u w:val="single"/>
        </w:rPr>
      </w:pPr>
      <w:r>
        <w:rPr>
          <w:rFonts w:ascii="Garamond" w:hAnsi="Garamond" w:cstheme="majorBidi"/>
          <w:b/>
          <w:bCs/>
          <w:sz w:val="28"/>
          <w:szCs w:val="28"/>
          <w:u w:val="single"/>
        </w:rPr>
        <w:t xml:space="preserve">Modalités de règlement </w:t>
      </w:r>
    </w:p>
    <w:p w:rsidR="003B5EBC" w:rsidRDefault="00A1518B">
      <w:pPr>
        <w:jc w:val="both"/>
        <w:rPr>
          <w:rFonts w:ascii="Garamond" w:hAnsi="Garamond" w:cstheme="majorBidi"/>
          <w:sz w:val="24"/>
          <w:szCs w:val="24"/>
        </w:rPr>
      </w:pPr>
      <w:r>
        <w:rPr>
          <w:rFonts w:ascii="Garamond" w:hAnsi="Garamond" w:cstheme="majorBidi"/>
          <w:sz w:val="24"/>
          <w:szCs w:val="24"/>
        </w:rPr>
        <w:t>Les paiements sont en fonction du résultat, c’est-à-dire, à la livraison des services spécifiés dans les termes de référence, selon des tranches suivantes :</w:t>
      </w:r>
    </w:p>
    <w:tbl>
      <w:tblPr>
        <w:tblW w:w="1000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6924"/>
        <w:gridCol w:w="1520"/>
      </w:tblGrid>
      <w:tr w:rsidR="003B5EBC">
        <w:trPr>
          <w:tblHeader/>
        </w:trPr>
        <w:tc>
          <w:tcPr>
            <w:tcW w:w="1560" w:type="dxa"/>
            <w:tcBorders>
              <w:top w:val="single" w:sz="0" w:space="0" w:color="CCCCCC"/>
              <w:left w:val="single" w:sz="0" w:space="0" w:color="CCCCCC"/>
              <w:bottom w:val="single" w:sz="0" w:space="0" w:color="CCCCCC"/>
              <w:right w:val="single" w:sz="0" w:space="0" w:color="CCCCCC"/>
            </w:tcBorders>
            <w:shd w:val="clear" w:color="auto" w:fill="1F4E79"/>
            <w:tcMar>
              <w:top w:w="80" w:type="dxa"/>
              <w:left w:w="120" w:type="dxa"/>
              <w:bottom w:w="80" w:type="dxa"/>
              <w:right w:w="120" w:type="dxa"/>
            </w:tcMar>
            <w:vAlign w:val="center"/>
          </w:tcPr>
          <w:p w:rsidR="003B5EBC" w:rsidRDefault="00A1518B">
            <w:pPr>
              <w:jc w:val="center"/>
              <w:rPr>
                <w:rFonts w:ascii="Garamond" w:hAnsi="Garamond" w:cstheme="majorBidi"/>
                <w:sz w:val="24"/>
                <w:szCs w:val="24"/>
              </w:rPr>
            </w:pPr>
            <w:r>
              <w:rPr>
                <w:rFonts w:ascii="Garamond" w:hAnsi="Garamond" w:cstheme="majorBidi"/>
                <w:b/>
                <w:bCs/>
                <w:color w:val="FFFFFF"/>
                <w:sz w:val="24"/>
                <w:szCs w:val="24"/>
              </w:rPr>
              <w:lastRenderedPageBreak/>
              <w:t>Tranche</w:t>
            </w:r>
          </w:p>
        </w:tc>
        <w:tc>
          <w:tcPr>
            <w:tcW w:w="6924" w:type="dxa"/>
            <w:tcBorders>
              <w:top w:val="single" w:sz="0" w:space="0" w:color="CCCCCC"/>
              <w:left w:val="single" w:sz="0" w:space="0" w:color="CCCCCC"/>
              <w:bottom w:val="single" w:sz="0" w:space="0" w:color="CCCCCC"/>
              <w:right w:val="single" w:sz="0" w:space="0" w:color="CCCCCC"/>
            </w:tcBorders>
            <w:shd w:val="clear" w:color="auto" w:fill="1F4E79"/>
            <w:tcMar>
              <w:top w:w="80" w:type="dxa"/>
              <w:left w:w="120" w:type="dxa"/>
              <w:bottom w:w="80" w:type="dxa"/>
              <w:right w:w="120" w:type="dxa"/>
            </w:tcMar>
            <w:vAlign w:val="center"/>
          </w:tcPr>
          <w:p w:rsidR="003B5EBC" w:rsidRDefault="00A1518B">
            <w:pPr>
              <w:jc w:val="center"/>
              <w:rPr>
                <w:rFonts w:ascii="Garamond" w:hAnsi="Garamond" w:cstheme="majorBidi"/>
                <w:sz w:val="24"/>
                <w:szCs w:val="24"/>
              </w:rPr>
            </w:pPr>
            <w:r>
              <w:rPr>
                <w:rFonts w:ascii="Garamond" w:hAnsi="Garamond" w:cstheme="majorBidi"/>
                <w:b/>
                <w:bCs/>
                <w:color w:val="FFFFFF"/>
                <w:sz w:val="24"/>
                <w:szCs w:val="24"/>
              </w:rPr>
              <w:t>Livrables validés</w:t>
            </w:r>
          </w:p>
        </w:tc>
        <w:tc>
          <w:tcPr>
            <w:tcW w:w="1520" w:type="dxa"/>
            <w:tcBorders>
              <w:top w:val="single" w:sz="0" w:space="0" w:color="CCCCCC"/>
              <w:left w:val="single" w:sz="0" w:space="0" w:color="CCCCCC"/>
              <w:bottom w:val="single" w:sz="0" w:space="0" w:color="CCCCCC"/>
              <w:right w:val="single" w:sz="0" w:space="0" w:color="CCCCCC"/>
            </w:tcBorders>
            <w:shd w:val="clear" w:color="auto" w:fill="1F4E79"/>
            <w:tcMar>
              <w:top w:w="80" w:type="dxa"/>
              <w:left w:w="120" w:type="dxa"/>
              <w:bottom w:w="80" w:type="dxa"/>
              <w:right w:w="120" w:type="dxa"/>
            </w:tcMar>
            <w:vAlign w:val="center"/>
          </w:tcPr>
          <w:p w:rsidR="003B5EBC" w:rsidRDefault="00A1518B">
            <w:pPr>
              <w:jc w:val="center"/>
              <w:rPr>
                <w:rFonts w:ascii="Garamond" w:hAnsi="Garamond" w:cstheme="majorBidi"/>
                <w:sz w:val="24"/>
                <w:szCs w:val="24"/>
              </w:rPr>
            </w:pPr>
            <w:r>
              <w:rPr>
                <w:rFonts w:ascii="Garamond" w:hAnsi="Garamond" w:cstheme="majorBidi"/>
                <w:b/>
                <w:bCs/>
                <w:color w:val="FFFFFF"/>
                <w:sz w:val="24"/>
                <w:szCs w:val="24"/>
              </w:rPr>
              <w:t>Pourcentage</w:t>
            </w:r>
          </w:p>
        </w:tc>
      </w:tr>
      <w:tr w:rsidR="003B5EBC">
        <w:tc>
          <w:tcPr>
            <w:tcW w:w="1560"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vAlign w:val="center"/>
          </w:tcPr>
          <w:p w:rsidR="003B5EBC" w:rsidRDefault="00A1518B">
            <w:pPr>
              <w:jc w:val="center"/>
              <w:rPr>
                <w:rFonts w:ascii="Garamond" w:hAnsi="Garamond" w:cstheme="majorBidi"/>
                <w:b/>
                <w:bCs/>
                <w:sz w:val="24"/>
                <w:szCs w:val="24"/>
              </w:rPr>
            </w:pPr>
            <w:r>
              <w:rPr>
                <w:rFonts w:ascii="Garamond" w:hAnsi="Garamond" w:cstheme="majorBidi"/>
                <w:b/>
                <w:bCs/>
                <w:sz w:val="24"/>
                <w:szCs w:val="24"/>
              </w:rPr>
              <w:t>Tranche 1</w:t>
            </w:r>
          </w:p>
        </w:tc>
        <w:tc>
          <w:tcPr>
            <w:tcW w:w="6924"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tcPr>
          <w:p w:rsidR="003B5EBC" w:rsidRDefault="00A1518B">
            <w:pPr>
              <w:pStyle w:val="Paragraphedeliste"/>
              <w:numPr>
                <w:ilvl w:val="0"/>
                <w:numId w:val="35"/>
              </w:numPr>
              <w:ind w:left="304" w:hanging="284"/>
              <w:rPr>
                <w:rFonts w:ascii="Garamond" w:hAnsi="Garamond" w:cstheme="majorBidi"/>
                <w:sz w:val="24"/>
                <w:szCs w:val="24"/>
                <w:lang w:val="fr-FR"/>
              </w:rPr>
            </w:pPr>
            <w:r>
              <w:rPr>
                <w:rFonts w:ascii="Garamond" w:hAnsi="Garamond" w:cstheme="majorBidi"/>
                <w:sz w:val="24"/>
                <w:szCs w:val="24"/>
                <w:lang w:val="fr-FR"/>
              </w:rPr>
              <w:t>L0 —</w:t>
            </w:r>
            <w:r>
              <w:rPr>
                <w:rFonts w:ascii="Garamond" w:hAnsi="Garamond" w:cstheme="majorBidi"/>
                <w:sz w:val="24"/>
                <w:szCs w:val="24"/>
              </w:rPr>
              <w:t>Rapport de démarrage / méthodologie de travail</w:t>
            </w:r>
          </w:p>
        </w:tc>
        <w:tc>
          <w:tcPr>
            <w:tcW w:w="1520"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tcPr>
          <w:p w:rsidR="003B5EBC" w:rsidRDefault="00A1518B">
            <w:pPr>
              <w:jc w:val="center"/>
              <w:rPr>
                <w:rFonts w:ascii="Garamond" w:hAnsi="Garamond" w:cstheme="majorBidi"/>
                <w:b/>
                <w:bCs/>
                <w:sz w:val="24"/>
                <w:szCs w:val="24"/>
              </w:rPr>
            </w:pPr>
            <w:r>
              <w:rPr>
                <w:rFonts w:ascii="Garamond" w:hAnsi="Garamond" w:cstheme="majorBidi"/>
                <w:b/>
                <w:bCs/>
                <w:sz w:val="24"/>
                <w:szCs w:val="24"/>
              </w:rPr>
              <w:t>5%</w:t>
            </w:r>
          </w:p>
        </w:tc>
      </w:tr>
      <w:tr w:rsidR="003B5EBC">
        <w:tc>
          <w:tcPr>
            <w:tcW w:w="1560" w:type="dxa"/>
            <w:tcBorders>
              <w:top w:val="single" w:sz="0" w:space="0" w:color="CCCCCC"/>
              <w:left w:val="single" w:sz="0" w:space="0" w:color="CCCCCC"/>
              <w:bottom w:val="single" w:sz="0" w:space="0" w:color="CCCCCC"/>
              <w:right w:val="single" w:sz="0" w:space="0" w:color="CCCCCC"/>
            </w:tcBorders>
            <w:shd w:val="clear" w:color="auto" w:fill="F2F2F2"/>
            <w:tcMar>
              <w:top w:w="80" w:type="dxa"/>
              <w:left w:w="120" w:type="dxa"/>
              <w:bottom w:w="80" w:type="dxa"/>
              <w:right w:w="120" w:type="dxa"/>
            </w:tcMar>
            <w:vAlign w:val="center"/>
          </w:tcPr>
          <w:p w:rsidR="003B5EBC" w:rsidRDefault="00A1518B">
            <w:pPr>
              <w:jc w:val="center"/>
              <w:rPr>
                <w:rFonts w:ascii="Garamond" w:hAnsi="Garamond" w:cstheme="majorBidi"/>
                <w:b/>
                <w:bCs/>
                <w:sz w:val="24"/>
                <w:szCs w:val="24"/>
              </w:rPr>
            </w:pPr>
            <w:r>
              <w:rPr>
                <w:rFonts w:ascii="Garamond" w:hAnsi="Garamond" w:cstheme="majorBidi"/>
                <w:b/>
                <w:bCs/>
                <w:sz w:val="24"/>
                <w:szCs w:val="24"/>
              </w:rPr>
              <w:t>Tranche 2</w:t>
            </w:r>
          </w:p>
        </w:tc>
        <w:tc>
          <w:tcPr>
            <w:tcW w:w="6924" w:type="dxa"/>
            <w:tcBorders>
              <w:top w:val="single" w:sz="0" w:space="0" w:color="CCCCCC"/>
              <w:left w:val="single" w:sz="0" w:space="0" w:color="CCCCCC"/>
              <w:bottom w:val="single" w:sz="0" w:space="0" w:color="CCCCCC"/>
              <w:right w:val="single" w:sz="0" w:space="0" w:color="CCCCCC"/>
            </w:tcBorders>
            <w:shd w:val="clear" w:color="auto" w:fill="F2F2F2"/>
            <w:tcMar>
              <w:top w:w="80" w:type="dxa"/>
              <w:left w:w="120" w:type="dxa"/>
              <w:bottom w:w="80" w:type="dxa"/>
              <w:right w:w="120" w:type="dxa"/>
            </w:tcMar>
          </w:tcPr>
          <w:p w:rsidR="003B5EBC" w:rsidRDefault="00A1518B">
            <w:pPr>
              <w:pStyle w:val="Paragraphedeliste"/>
              <w:numPr>
                <w:ilvl w:val="0"/>
                <w:numId w:val="36"/>
              </w:numPr>
              <w:ind w:left="304" w:hanging="304"/>
              <w:rPr>
                <w:rFonts w:ascii="Garamond" w:hAnsi="Garamond" w:cstheme="majorBidi"/>
                <w:sz w:val="24"/>
                <w:szCs w:val="24"/>
                <w:lang w:val="fr-FR"/>
              </w:rPr>
            </w:pPr>
            <w:r>
              <w:rPr>
                <w:rFonts w:ascii="Garamond" w:hAnsi="Garamond" w:cstheme="majorBidi"/>
                <w:sz w:val="24"/>
                <w:szCs w:val="24"/>
              </w:rPr>
              <w:t>L1.1, L1.2, L1.3 — Analyse juridique, institutionnelle et benchmark</w:t>
            </w:r>
          </w:p>
        </w:tc>
        <w:tc>
          <w:tcPr>
            <w:tcW w:w="1520" w:type="dxa"/>
            <w:tcBorders>
              <w:top w:val="single" w:sz="0" w:space="0" w:color="CCCCCC"/>
              <w:left w:val="single" w:sz="0" w:space="0" w:color="CCCCCC"/>
              <w:bottom w:val="single" w:sz="0" w:space="0" w:color="CCCCCC"/>
              <w:right w:val="single" w:sz="0" w:space="0" w:color="CCCCCC"/>
            </w:tcBorders>
            <w:shd w:val="clear" w:color="auto" w:fill="F2F2F2"/>
            <w:tcMar>
              <w:top w:w="80" w:type="dxa"/>
              <w:left w:w="120" w:type="dxa"/>
              <w:bottom w:w="80" w:type="dxa"/>
              <w:right w:w="120" w:type="dxa"/>
            </w:tcMar>
            <w:vAlign w:val="center"/>
          </w:tcPr>
          <w:p w:rsidR="003B5EBC" w:rsidRDefault="00A1518B">
            <w:pPr>
              <w:jc w:val="center"/>
              <w:rPr>
                <w:rFonts w:ascii="Garamond" w:hAnsi="Garamond" w:cstheme="majorBidi"/>
                <w:b/>
                <w:bCs/>
                <w:sz w:val="24"/>
                <w:szCs w:val="24"/>
              </w:rPr>
            </w:pPr>
            <w:r>
              <w:rPr>
                <w:rFonts w:ascii="Garamond" w:hAnsi="Garamond" w:cstheme="majorBidi"/>
                <w:b/>
                <w:bCs/>
                <w:sz w:val="24"/>
                <w:szCs w:val="24"/>
              </w:rPr>
              <w:t>15%</w:t>
            </w:r>
          </w:p>
        </w:tc>
      </w:tr>
      <w:tr w:rsidR="003B5EBC">
        <w:tc>
          <w:tcPr>
            <w:tcW w:w="1560"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vAlign w:val="center"/>
          </w:tcPr>
          <w:p w:rsidR="003B5EBC" w:rsidRDefault="00A1518B">
            <w:pPr>
              <w:jc w:val="center"/>
              <w:rPr>
                <w:rFonts w:ascii="Garamond" w:hAnsi="Garamond" w:cstheme="majorBidi"/>
                <w:b/>
                <w:bCs/>
                <w:sz w:val="24"/>
                <w:szCs w:val="24"/>
              </w:rPr>
            </w:pPr>
            <w:r>
              <w:rPr>
                <w:rFonts w:ascii="Garamond" w:hAnsi="Garamond" w:cstheme="majorBidi"/>
                <w:b/>
                <w:bCs/>
                <w:sz w:val="24"/>
                <w:szCs w:val="24"/>
              </w:rPr>
              <w:t>Tranche 3</w:t>
            </w:r>
          </w:p>
        </w:tc>
        <w:tc>
          <w:tcPr>
            <w:tcW w:w="6924"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tcPr>
          <w:p w:rsidR="003B5EBC" w:rsidRDefault="00A1518B">
            <w:pPr>
              <w:pStyle w:val="Paragraphedeliste"/>
              <w:numPr>
                <w:ilvl w:val="0"/>
                <w:numId w:val="37"/>
              </w:numPr>
              <w:ind w:left="304" w:hanging="304"/>
              <w:rPr>
                <w:rFonts w:ascii="Garamond" w:hAnsi="Garamond" w:cstheme="majorBidi"/>
                <w:sz w:val="24"/>
                <w:szCs w:val="24"/>
                <w:lang w:val="fr-FR"/>
              </w:rPr>
            </w:pPr>
            <w:r>
              <w:rPr>
                <w:rFonts w:ascii="Garamond" w:hAnsi="Garamond" w:cstheme="majorBidi"/>
                <w:sz w:val="24"/>
                <w:szCs w:val="24"/>
              </w:rPr>
              <w:t>L2.1, L2.2, L2.3</w:t>
            </w:r>
            <w:r w:rsidR="00C00FCA">
              <w:rPr>
                <w:rFonts w:ascii="Garamond" w:hAnsi="Garamond" w:cstheme="majorBidi"/>
                <w:sz w:val="24"/>
                <w:szCs w:val="24"/>
                <w:lang w:val="fr-FR"/>
              </w:rPr>
              <w:t xml:space="preserve"> </w:t>
            </w:r>
            <w:r>
              <w:rPr>
                <w:rFonts w:ascii="Garamond" w:hAnsi="Garamond" w:cstheme="majorBidi"/>
                <w:sz w:val="24"/>
                <w:szCs w:val="24"/>
              </w:rPr>
              <w:t>— Cahier des charges, architecture</w:t>
            </w:r>
            <w:r w:rsidR="00C00FCA">
              <w:rPr>
                <w:rFonts w:ascii="Garamond" w:hAnsi="Garamond" w:cstheme="majorBidi"/>
                <w:sz w:val="24"/>
                <w:szCs w:val="24"/>
                <w:lang w:val="fr-FR"/>
              </w:rPr>
              <w:t xml:space="preserve"> et </w:t>
            </w:r>
            <w:r>
              <w:rPr>
                <w:rFonts w:ascii="Garamond" w:hAnsi="Garamond" w:cstheme="majorBidi"/>
                <w:sz w:val="24"/>
                <w:szCs w:val="24"/>
              </w:rPr>
              <w:t xml:space="preserve"> interopérabilité</w:t>
            </w:r>
          </w:p>
        </w:tc>
        <w:tc>
          <w:tcPr>
            <w:tcW w:w="1520"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vAlign w:val="center"/>
          </w:tcPr>
          <w:p w:rsidR="003B5EBC" w:rsidRDefault="00A1518B">
            <w:pPr>
              <w:jc w:val="center"/>
              <w:rPr>
                <w:rFonts w:ascii="Garamond" w:hAnsi="Garamond" w:cstheme="majorBidi"/>
                <w:b/>
                <w:bCs/>
                <w:sz w:val="24"/>
                <w:szCs w:val="24"/>
              </w:rPr>
            </w:pPr>
            <w:r>
              <w:rPr>
                <w:rFonts w:ascii="Garamond" w:hAnsi="Garamond" w:cstheme="majorBidi"/>
                <w:b/>
                <w:bCs/>
                <w:sz w:val="24"/>
                <w:szCs w:val="24"/>
              </w:rPr>
              <w:t>20%</w:t>
            </w:r>
          </w:p>
        </w:tc>
      </w:tr>
      <w:tr w:rsidR="003B5EBC">
        <w:tc>
          <w:tcPr>
            <w:tcW w:w="1560" w:type="dxa"/>
            <w:tcBorders>
              <w:top w:val="single" w:sz="0" w:space="0" w:color="CCCCCC"/>
              <w:left w:val="single" w:sz="0" w:space="0" w:color="CCCCCC"/>
              <w:bottom w:val="single" w:sz="0" w:space="0" w:color="CCCCCC"/>
              <w:right w:val="single" w:sz="0" w:space="0" w:color="CCCCCC"/>
            </w:tcBorders>
            <w:shd w:val="clear" w:color="auto" w:fill="F2F2F2"/>
            <w:tcMar>
              <w:top w:w="80" w:type="dxa"/>
              <w:left w:w="120" w:type="dxa"/>
              <w:bottom w:w="80" w:type="dxa"/>
              <w:right w:w="120" w:type="dxa"/>
            </w:tcMar>
            <w:vAlign w:val="center"/>
          </w:tcPr>
          <w:p w:rsidR="003B5EBC" w:rsidRDefault="00A1518B">
            <w:pPr>
              <w:jc w:val="center"/>
              <w:rPr>
                <w:rFonts w:ascii="Garamond" w:hAnsi="Garamond" w:cstheme="majorBidi"/>
                <w:b/>
                <w:bCs/>
                <w:sz w:val="24"/>
                <w:szCs w:val="24"/>
              </w:rPr>
            </w:pPr>
            <w:r>
              <w:rPr>
                <w:rFonts w:ascii="Garamond" w:hAnsi="Garamond" w:cstheme="majorBidi"/>
                <w:b/>
                <w:bCs/>
                <w:sz w:val="24"/>
                <w:szCs w:val="24"/>
              </w:rPr>
              <w:t>Tranche 4</w:t>
            </w:r>
          </w:p>
        </w:tc>
        <w:tc>
          <w:tcPr>
            <w:tcW w:w="6924" w:type="dxa"/>
            <w:tcBorders>
              <w:top w:val="single" w:sz="0" w:space="0" w:color="CCCCCC"/>
              <w:left w:val="single" w:sz="0" w:space="0" w:color="CCCCCC"/>
              <w:bottom w:val="single" w:sz="0" w:space="0" w:color="CCCCCC"/>
              <w:right w:val="single" w:sz="0" w:space="0" w:color="CCCCCC"/>
            </w:tcBorders>
            <w:shd w:val="clear" w:color="auto" w:fill="F2F2F2"/>
            <w:tcMar>
              <w:top w:w="80" w:type="dxa"/>
              <w:left w:w="120" w:type="dxa"/>
              <w:bottom w:w="80" w:type="dxa"/>
              <w:right w:w="120" w:type="dxa"/>
            </w:tcMar>
            <w:vAlign w:val="center"/>
          </w:tcPr>
          <w:p w:rsidR="003B5EBC" w:rsidRDefault="00A1518B">
            <w:pPr>
              <w:pStyle w:val="Paragraphedeliste"/>
              <w:numPr>
                <w:ilvl w:val="0"/>
                <w:numId w:val="38"/>
              </w:numPr>
              <w:ind w:left="304" w:hanging="304"/>
              <w:rPr>
                <w:rFonts w:ascii="Garamond" w:hAnsi="Garamond" w:cstheme="majorBidi"/>
                <w:sz w:val="24"/>
                <w:szCs w:val="24"/>
              </w:rPr>
            </w:pPr>
            <w:r>
              <w:rPr>
                <w:rFonts w:ascii="Garamond" w:hAnsi="Garamond" w:cstheme="majorBidi"/>
                <w:sz w:val="24"/>
                <w:szCs w:val="24"/>
              </w:rPr>
              <w:t>L3.1 — Version bêta de la plateforme électronique APA</w:t>
            </w:r>
          </w:p>
        </w:tc>
        <w:tc>
          <w:tcPr>
            <w:tcW w:w="1520" w:type="dxa"/>
            <w:tcBorders>
              <w:top w:val="single" w:sz="0" w:space="0" w:color="CCCCCC"/>
              <w:left w:val="single" w:sz="0" w:space="0" w:color="CCCCCC"/>
              <w:bottom w:val="single" w:sz="0" w:space="0" w:color="CCCCCC"/>
              <w:right w:val="single" w:sz="0" w:space="0" w:color="CCCCCC"/>
            </w:tcBorders>
            <w:shd w:val="clear" w:color="auto" w:fill="F2F2F2"/>
            <w:tcMar>
              <w:top w:w="80" w:type="dxa"/>
              <w:left w:w="120" w:type="dxa"/>
              <w:bottom w:w="80" w:type="dxa"/>
              <w:right w:w="120" w:type="dxa"/>
            </w:tcMar>
          </w:tcPr>
          <w:p w:rsidR="003B5EBC" w:rsidRDefault="00A1518B">
            <w:pPr>
              <w:jc w:val="center"/>
              <w:rPr>
                <w:rFonts w:ascii="Garamond" w:hAnsi="Garamond" w:cstheme="majorBidi"/>
                <w:b/>
                <w:bCs/>
                <w:sz w:val="24"/>
                <w:szCs w:val="24"/>
              </w:rPr>
            </w:pPr>
            <w:r>
              <w:rPr>
                <w:rFonts w:ascii="Garamond" w:hAnsi="Garamond" w:cstheme="majorBidi"/>
                <w:b/>
                <w:bCs/>
                <w:sz w:val="24"/>
                <w:szCs w:val="24"/>
              </w:rPr>
              <w:t>15%</w:t>
            </w:r>
          </w:p>
        </w:tc>
      </w:tr>
      <w:tr w:rsidR="003B5EBC">
        <w:tc>
          <w:tcPr>
            <w:tcW w:w="1560"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vAlign w:val="center"/>
          </w:tcPr>
          <w:p w:rsidR="003B5EBC" w:rsidRDefault="00A1518B">
            <w:pPr>
              <w:jc w:val="center"/>
              <w:rPr>
                <w:rFonts w:ascii="Garamond" w:hAnsi="Garamond" w:cstheme="majorBidi"/>
                <w:b/>
                <w:bCs/>
                <w:sz w:val="24"/>
                <w:szCs w:val="24"/>
              </w:rPr>
            </w:pPr>
            <w:r>
              <w:rPr>
                <w:rFonts w:ascii="Garamond" w:hAnsi="Garamond" w:cstheme="majorBidi"/>
                <w:b/>
                <w:bCs/>
                <w:sz w:val="24"/>
                <w:szCs w:val="24"/>
              </w:rPr>
              <w:t>Tranche 5</w:t>
            </w:r>
          </w:p>
        </w:tc>
        <w:tc>
          <w:tcPr>
            <w:tcW w:w="6924"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vAlign w:val="center"/>
          </w:tcPr>
          <w:p w:rsidR="003B5EBC" w:rsidRDefault="00A1518B">
            <w:pPr>
              <w:pStyle w:val="Paragraphedeliste"/>
              <w:numPr>
                <w:ilvl w:val="0"/>
                <w:numId w:val="39"/>
              </w:numPr>
              <w:ind w:left="304" w:hanging="284"/>
              <w:rPr>
                <w:rFonts w:ascii="Garamond" w:hAnsi="Garamond" w:cstheme="majorBidi"/>
                <w:sz w:val="24"/>
                <w:szCs w:val="24"/>
                <w:lang w:val="fr-FR"/>
              </w:rPr>
            </w:pPr>
            <w:r>
              <w:rPr>
                <w:rFonts w:ascii="Garamond" w:hAnsi="Garamond" w:cstheme="majorBidi"/>
                <w:sz w:val="24"/>
                <w:szCs w:val="24"/>
              </w:rPr>
              <w:t>L3.2 — Plateforme testée, validée et mise en ligne</w:t>
            </w:r>
          </w:p>
        </w:tc>
        <w:tc>
          <w:tcPr>
            <w:tcW w:w="1520" w:type="dxa"/>
            <w:tcBorders>
              <w:top w:val="single" w:sz="0" w:space="0" w:color="CCCCCC"/>
              <w:left w:val="single" w:sz="0" w:space="0" w:color="CCCCCC"/>
              <w:bottom w:val="single" w:sz="0" w:space="0" w:color="CCCCCC"/>
              <w:right w:val="single" w:sz="0" w:space="0" w:color="CCCCCC"/>
            </w:tcBorders>
            <w:shd w:val="clear" w:color="auto" w:fill="FFFFFF"/>
            <w:tcMar>
              <w:top w:w="80" w:type="dxa"/>
              <w:left w:w="120" w:type="dxa"/>
              <w:bottom w:w="80" w:type="dxa"/>
              <w:right w:w="120" w:type="dxa"/>
            </w:tcMar>
            <w:vAlign w:val="center"/>
          </w:tcPr>
          <w:p w:rsidR="003B5EBC" w:rsidRDefault="00A1518B">
            <w:pPr>
              <w:jc w:val="center"/>
              <w:rPr>
                <w:rFonts w:ascii="Garamond" w:hAnsi="Garamond" w:cstheme="majorBidi"/>
                <w:b/>
                <w:bCs/>
                <w:sz w:val="24"/>
                <w:szCs w:val="24"/>
              </w:rPr>
            </w:pPr>
            <w:r>
              <w:rPr>
                <w:rFonts w:ascii="Garamond" w:hAnsi="Garamond" w:cstheme="majorBidi"/>
                <w:b/>
                <w:bCs/>
                <w:sz w:val="24"/>
                <w:szCs w:val="24"/>
              </w:rPr>
              <w:t>30%</w:t>
            </w:r>
          </w:p>
        </w:tc>
      </w:tr>
      <w:tr w:rsidR="003B5EBC">
        <w:tc>
          <w:tcPr>
            <w:tcW w:w="1560" w:type="dxa"/>
            <w:tcBorders>
              <w:top w:val="single" w:sz="0" w:space="0" w:color="CCCCCC"/>
              <w:left w:val="single" w:sz="0" w:space="0" w:color="CCCCCC"/>
              <w:bottom w:val="single" w:sz="0" w:space="0" w:color="CCCCCC"/>
              <w:right w:val="single" w:sz="0" w:space="0" w:color="CCCCCC"/>
            </w:tcBorders>
            <w:shd w:val="clear" w:color="auto" w:fill="F2F2F2"/>
            <w:tcMar>
              <w:top w:w="80" w:type="dxa"/>
              <w:left w:w="120" w:type="dxa"/>
              <w:bottom w:w="80" w:type="dxa"/>
              <w:right w:w="120" w:type="dxa"/>
            </w:tcMar>
            <w:vAlign w:val="center"/>
          </w:tcPr>
          <w:p w:rsidR="003B5EBC" w:rsidRDefault="00A1518B">
            <w:pPr>
              <w:jc w:val="center"/>
              <w:rPr>
                <w:rFonts w:ascii="Garamond" w:hAnsi="Garamond" w:cstheme="majorBidi"/>
                <w:b/>
                <w:bCs/>
                <w:sz w:val="24"/>
                <w:szCs w:val="24"/>
              </w:rPr>
            </w:pPr>
            <w:r>
              <w:rPr>
                <w:rFonts w:ascii="Garamond" w:hAnsi="Garamond" w:cstheme="majorBidi"/>
                <w:b/>
                <w:bCs/>
                <w:sz w:val="24"/>
                <w:szCs w:val="24"/>
              </w:rPr>
              <w:t>Tranche 6</w:t>
            </w:r>
          </w:p>
        </w:tc>
        <w:tc>
          <w:tcPr>
            <w:tcW w:w="6924" w:type="dxa"/>
            <w:tcBorders>
              <w:top w:val="single" w:sz="0" w:space="0" w:color="CCCCCC"/>
              <w:left w:val="single" w:sz="0" w:space="0" w:color="CCCCCC"/>
              <w:bottom w:val="single" w:sz="0" w:space="0" w:color="CCCCCC"/>
              <w:right w:val="single" w:sz="0" w:space="0" w:color="CCCCCC"/>
            </w:tcBorders>
            <w:shd w:val="clear" w:color="auto" w:fill="F2F2F2"/>
            <w:tcMar>
              <w:top w:w="80" w:type="dxa"/>
              <w:left w:w="120" w:type="dxa"/>
              <w:bottom w:w="80" w:type="dxa"/>
              <w:right w:w="120" w:type="dxa"/>
            </w:tcMar>
          </w:tcPr>
          <w:p w:rsidR="003B5EBC" w:rsidRDefault="00A1518B">
            <w:pPr>
              <w:pStyle w:val="Paragraphedeliste"/>
              <w:numPr>
                <w:ilvl w:val="0"/>
                <w:numId w:val="40"/>
              </w:numPr>
              <w:ind w:left="304" w:hanging="284"/>
              <w:rPr>
                <w:rFonts w:ascii="Garamond" w:hAnsi="Garamond" w:cstheme="majorBidi"/>
                <w:sz w:val="24"/>
                <w:szCs w:val="24"/>
                <w:lang w:val="fr-FR"/>
              </w:rPr>
            </w:pPr>
            <w:r>
              <w:rPr>
                <w:rFonts w:ascii="Garamond" w:hAnsi="Garamond" w:cstheme="majorBidi"/>
                <w:sz w:val="24"/>
                <w:szCs w:val="24"/>
              </w:rPr>
              <w:t>L3.3 — Manuels, documentation technique, formation et transfert de compétences + LF — Rapport final d’évaluation</w:t>
            </w:r>
          </w:p>
        </w:tc>
        <w:tc>
          <w:tcPr>
            <w:tcW w:w="1520" w:type="dxa"/>
            <w:tcBorders>
              <w:top w:val="single" w:sz="0" w:space="0" w:color="CCCCCC"/>
              <w:left w:val="single" w:sz="0" w:space="0" w:color="CCCCCC"/>
              <w:bottom w:val="single" w:sz="0" w:space="0" w:color="CCCCCC"/>
              <w:right w:val="single" w:sz="0" w:space="0" w:color="CCCCCC"/>
            </w:tcBorders>
            <w:shd w:val="clear" w:color="auto" w:fill="F2F2F2"/>
            <w:tcMar>
              <w:top w:w="80" w:type="dxa"/>
              <w:left w:w="120" w:type="dxa"/>
              <w:bottom w:w="80" w:type="dxa"/>
              <w:right w:w="120" w:type="dxa"/>
            </w:tcMar>
          </w:tcPr>
          <w:p w:rsidR="003B5EBC" w:rsidRDefault="00A1518B">
            <w:pPr>
              <w:jc w:val="center"/>
              <w:rPr>
                <w:rFonts w:ascii="Garamond" w:hAnsi="Garamond" w:cstheme="majorBidi"/>
                <w:b/>
                <w:bCs/>
                <w:sz w:val="24"/>
                <w:szCs w:val="24"/>
              </w:rPr>
            </w:pPr>
            <w:r>
              <w:rPr>
                <w:rFonts w:ascii="Garamond" w:hAnsi="Garamond" w:cstheme="majorBidi"/>
                <w:b/>
                <w:bCs/>
                <w:sz w:val="24"/>
                <w:szCs w:val="24"/>
              </w:rPr>
              <w:t>15%</w:t>
            </w:r>
          </w:p>
        </w:tc>
      </w:tr>
      <w:tr w:rsidR="003B5EBC">
        <w:tc>
          <w:tcPr>
            <w:tcW w:w="1560" w:type="dxa"/>
            <w:tcBorders>
              <w:top w:val="single" w:sz="0" w:space="0" w:color="CCCCCC"/>
              <w:left w:val="single" w:sz="0" w:space="0" w:color="CCCCCC"/>
              <w:bottom w:val="single" w:sz="0" w:space="0" w:color="CCCCCC"/>
              <w:right w:val="single" w:sz="0" w:space="0" w:color="CCCCCC"/>
            </w:tcBorders>
            <w:shd w:val="clear" w:color="auto" w:fill="1F4E79"/>
            <w:tcMar>
              <w:top w:w="80" w:type="dxa"/>
              <w:left w:w="120" w:type="dxa"/>
              <w:bottom w:w="80" w:type="dxa"/>
              <w:right w:w="120" w:type="dxa"/>
            </w:tcMar>
            <w:vAlign w:val="center"/>
          </w:tcPr>
          <w:p w:rsidR="003B5EBC" w:rsidRDefault="00A1518B">
            <w:pPr>
              <w:jc w:val="center"/>
              <w:rPr>
                <w:rFonts w:ascii="Garamond" w:hAnsi="Garamond" w:cstheme="majorBidi"/>
                <w:sz w:val="24"/>
                <w:szCs w:val="24"/>
              </w:rPr>
            </w:pPr>
            <w:r>
              <w:rPr>
                <w:rFonts w:ascii="Garamond" w:hAnsi="Garamond" w:cstheme="majorBidi"/>
                <w:b/>
                <w:bCs/>
                <w:color w:val="FFFFFF"/>
                <w:sz w:val="24"/>
                <w:szCs w:val="24"/>
              </w:rPr>
              <w:t>Total</w:t>
            </w:r>
          </w:p>
        </w:tc>
        <w:tc>
          <w:tcPr>
            <w:tcW w:w="6924" w:type="dxa"/>
            <w:tcBorders>
              <w:top w:val="single" w:sz="0" w:space="0" w:color="CCCCCC"/>
              <w:left w:val="single" w:sz="0" w:space="0" w:color="CCCCCC"/>
              <w:bottom w:val="single" w:sz="0" w:space="0" w:color="CCCCCC"/>
              <w:right w:val="single" w:sz="0" w:space="0" w:color="CCCCCC"/>
            </w:tcBorders>
            <w:shd w:val="clear" w:color="auto" w:fill="1F4E79"/>
            <w:tcMar>
              <w:top w:w="80" w:type="dxa"/>
              <w:left w:w="120" w:type="dxa"/>
              <w:bottom w:w="80" w:type="dxa"/>
              <w:right w:w="120" w:type="dxa"/>
            </w:tcMar>
            <w:vAlign w:val="center"/>
          </w:tcPr>
          <w:p w:rsidR="003B5EBC" w:rsidRDefault="003B5EBC">
            <w:pPr>
              <w:jc w:val="center"/>
              <w:rPr>
                <w:rFonts w:ascii="Garamond" w:hAnsi="Garamond" w:cstheme="majorBidi"/>
                <w:sz w:val="24"/>
                <w:szCs w:val="24"/>
              </w:rPr>
            </w:pPr>
          </w:p>
        </w:tc>
        <w:tc>
          <w:tcPr>
            <w:tcW w:w="1520" w:type="dxa"/>
            <w:tcBorders>
              <w:top w:val="single" w:sz="0" w:space="0" w:color="CCCCCC"/>
              <w:left w:val="single" w:sz="0" w:space="0" w:color="CCCCCC"/>
              <w:bottom w:val="single" w:sz="0" w:space="0" w:color="CCCCCC"/>
              <w:right w:val="single" w:sz="0" w:space="0" w:color="CCCCCC"/>
            </w:tcBorders>
            <w:shd w:val="clear" w:color="auto" w:fill="1F4E79"/>
            <w:tcMar>
              <w:top w:w="80" w:type="dxa"/>
              <w:left w:w="120" w:type="dxa"/>
              <w:bottom w:w="80" w:type="dxa"/>
              <w:right w:w="120" w:type="dxa"/>
            </w:tcMar>
            <w:vAlign w:val="center"/>
          </w:tcPr>
          <w:p w:rsidR="003B5EBC" w:rsidRDefault="00A1518B">
            <w:pPr>
              <w:jc w:val="center"/>
              <w:rPr>
                <w:rFonts w:ascii="Garamond" w:hAnsi="Garamond" w:cstheme="majorBidi"/>
                <w:sz w:val="24"/>
                <w:szCs w:val="24"/>
              </w:rPr>
            </w:pPr>
            <w:r>
              <w:rPr>
                <w:rFonts w:ascii="Garamond" w:hAnsi="Garamond" w:cstheme="majorBidi"/>
                <w:b/>
                <w:bCs/>
                <w:color w:val="FFFFFF"/>
                <w:sz w:val="24"/>
                <w:szCs w:val="24"/>
              </w:rPr>
              <w:t>100%</w:t>
            </w:r>
          </w:p>
        </w:tc>
      </w:tr>
    </w:tbl>
    <w:p w:rsidR="003B5EBC" w:rsidRDefault="003B5EBC">
      <w:pPr>
        <w:jc w:val="both"/>
        <w:rPr>
          <w:rFonts w:ascii="Calisto MT" w:hAnsi="Calisto MT" w:cstheme="majorHAnsi"/>
          <w:sz w:val="16"/>
          <w:szCs w:val="16"/>
        </w:rPr>
      </w:pPr>
    </w:p>
    <w:p w:rsidR="003B5EBC" w:rsidRDefault="00A1518B">
      <w:pPr>
        <w:pStyle w:val="Paragraphedeliste"/>
        <w:numPr>
          <w:ilvl w:val="0"/>
          <w:numId w:val="5"/>
        </w:numPr>
        <w:spacing w:before="360" w:after="240"/>
        <w:ind w:left="426" w:hanging="69"/>
        <w:contextualSpacing w:val="0"/>
        <w:jc w:val="both"/>
        <w:rPr>
          <w:rFonts w:ascii="Garamond" w:hAnsi="Garamond" w:cstheme="majorBidi"/>
          <w:b/>
          <w:bCs/>
          <w:sz w:val="28"/>
          <w:szCs w:val="28"/>
          <w:u w:val="single"/>
        </w:rPr>
      </w:pPr>
      <w:r>
        <w:rPr>
          <w:rFonts w:ascii="Garamond" w:hAnsi="Garamond" w:cstheme="majorBidi"/>
          <w:b/>
          <w:bCs/>
          <w:sz w:val="28"/>
          <w:szCs w:val="28"/>
          <w:u w:val="single"/>
        </w:rPr>
        <w:t xml:space="preserve">Exonération de la TVA </w:t>
      </w:r>
    </w:p>
    <w:p w:rsidR="003B5EBC" w:rsidRDefault="00A1518B">
      <w:pPr>
        <w:jc w:val="both"/>
        <w:rPr>
          <w:rFonts w:ascii="Garamond" w:hAnsi="Garamond" w:cstheme="majorBidi"/>
          <w:sz w:val="24"/>
          <w:szCs w:val="24"/>
        </w:rPr>
      </w:pPr>
      <w:r>
        <w:rPr>
          <w:rFonts w:ascii="Garamond" w:hAnsi="Garamond" w:cstheme="majorBidi"/>
          <w:sz w:val="24"/>
          <w:szCs w:val="24"/>
        </w:rPr>
        <w:t>Le paiement sera effectué hors taxe, et le PNUD s'assurera de fournir une attestation d'exonération de TVA sur les prestations réalisées, signée par les autorités compétentes.</w:t>
      </w:r>
    </w:p>
    <w:p w:rsidR="003B5EBC" w:rsidRDefault="003B5EBC">
      <w:pPr>
        <w:jc w:val="both"/>
        <w:rPr>
          <w:rFonts w:ascii="Calisto MT" w:eastAsiaTheme="minorEastAsia" w:hAnsi="Calisto MT" w:cstheme="majorHAnsi"/>
          <w:sz w:val="24"/>
          <w:szCs w:val="24"/>
          <w:lang w:eastAsia="zh-CN"/>
        </w:rPr>
      </w:pPr>
    </w:p>
    <w:p w:rsidR="003B5EBC" w:rsidRDefault="00A1518B">
      <w:pPr>
        <w:pStyle w:val="Paragraphedeliste"/>
        <w:numPr>
          <w:ilvl w:val="0"/>
          <w:numId w:val="5"/>
        </w:numPr>
        <w:ind w:left="426" w:hanging="66"/>
        <w:jc w:val="both"/>
        <w:rPr>
          <w:rFonts w:ascii="Garamond" w:hAnsi="Garamond" w:cstheme="majorBidi"/>
          <w:b/>
          <w:bCs/>
          <w:sz w:val="28"/>
          <w:szCs w:val="28"/>
          <w:u w:val="single"/>
        </w:rPr>
      </w:pPr>
      <w:r>
        <w:rPr>
          <w:rFonts w:ascii="Garamond" w:hAnsi="Garamond" w:cstheme="majorBidi"/>
          <w:b/>
          <w:bCs/>
          <w:sz w:val="28"/>
          <w:szCs w:val="28"/>
          <w:u w:val="single"/>
        </w:rPr>
        <w:t>Modalités de soumission des offres</w:t>
      </w:r>
    </w:p>
    <w:p w:rsidR="003B5EBC" w:rsidRDefault="003B5EBC">
      <w:pPr>
        <w:pStyle w:val="Paragraphedeliste"/>
        <w:ind w:left="567"/>
        <w:jc w:val="both"/>
        <w:rPr>
          <w:rFonts w:asciiTheme="majorBidi" w:hAnsiTheme="majorBidi" w:cstheme="majorBidi"/>
          <w:b/>
          <w:bCs/>
          <w:sz w:val="24"/>
          <w:szCs w:val="24"/>
          <w:u w:val="single"/>
        </w:rPr>
      </w:pPr>
      <w:bookmarkStart w:id="1" w:name="_GoBack"/>
      <w:bookmarkEnd w:id="1"/>
    </w:p>
    <w:p w:rsidR="003B5EBC" w:rsidRDefault="00A1518B" w:rsidP="00035F48">
      <w:pPr>
        <w:jc w:val="both"/>
        <w:rPr>
          <w:rFonts w:ascii="Garamond" w:hAnsi="Garamond" w:cstheme="majorBidi"/>
          <w:b/>
          <w:bCs/>
          <w:sz w:val="24"/>
          <w:szCs w:val="24"/>
        </w:rPr>
      </w:pPr>
      <w:r>
        <w:rPr>
          <w:rFonts w:ascii="Garamond" w:hAnsi="Garamond" w:cstheme="majorBidi"/>
          <w:sz w:val="24"/>
          <w:szCs w:val="24"/>
        </w:rPr>
        <w:t xml:space="preserve">Les expert(e)s sont invité(e)s à soumettre leurs offres </w:t>
      </w:r>
      <w:r>
        <w:rPr>
          <w:rFonts w:ascii="Garamond" w:hAnsi="Garamond" w:cstheme="majorBidi"/>
          <w:color w:val="000000" w:themeColor="text1"/>
          <w:sz w:val="24"/>
          <w:szCs w:val="24"/>
          <w:u w:val="single"/>
        </w:rPr>
        <w:t>soit par un dossier physique, soit par une soumission numérique,</w:t>
      </w:r>
      <w:r>
        <w:rPr>
          <w:rFonts w:ascii="Garamond" w:hAnsi="Garamond" w:cstheme="majorBidi"/>
          <w:sz w:val="24"/>
          <w:szCs w:val="24"/>
        </w:rPr>
        <w:t xml:space="preserve"> conformément aux modalités ci-dessous, </w:t>
      </w:r>
      <w:r w:rsidRPr="00F77277">
        <w:rPr>
          <w:rFonts w:ascii="Garamond" w:hAnsi="Garamond" w:cstheme="majorBidi"/>
          <w:b/>
          <w:bCs/>
          <w:sz w:val="24"/>
          <w:szCs w:val="24"/>
        </w:rPr>
        <w:t xml:space="preserve">avant le </w:t>
      </w:r>
      <w:r w:rsidR="00035F48">
        <w:rPr>
          <w:rFonts w:ascii="Garamond" w:hAnsi="Garamond" w:cstheme="majorBidi"/>
          <w:b/>
          <w:bCs/>
          <w:sz w:val="24"/>
          <w:szCs w:val="24"/>
          <w:lang w:val="fr-MA"/>
        </w:rPr>
        <w:t>07 septembre</w:t>
      </w:r>
      <w:r w:rsidR="00F77277">
        <w:rPr>
          <w:rFonts w:ascii="Garamond" w:hAnsi="Garamond" w:cstheme="majorBidi"/>
          <w:b/>
          <w:bCs/>
          <w:sz w:val="24"/>
          <w:szCs w:val="24"/>
          <w:lang w:val="fr-MA"/>
        </w:rPr>
        <w:t xml:space="preserve"> </w:t>
      </w:r>
      <w:r w:rsidRPr="00F77277">
        <w:rPr>
          <w:rFonts w:ascii="Garamond" w:hAnsi="Garamond" w:cstheme="majorBidi"/>
          <w:b/>
          <w:bCs/>
          <w:sz w:val="24"/>
          <w:szCs w:val="24"/>
        </w:rPr>
        <w:t>2026.</w:t>
      </w:r>
    </w:p>
    <w:p w:rsidR="003B5EBC" w:rsidRDefault="00A1518B">
      <w:pPr>
        <w:spacing w:before="240" w:after="240"/>
        <w:jc w:val="center"/>
        <w:rPr>
          <w:rFonts w:ascii="Garamond" w:eastAsiaTheme="minorEastAsia" w:hAnsi="Garamond" w:cstheme="majorBidi"/>
          <w:b/>
          <w:bCs/>
          <w:color w:val="1F4E79" w:themeColor="accent1" w:themeShade="80"/>
          <w:sz w:val="24"/>
          <w:szCs w:val="24"/>
          <w:lang w:eastAsia="zh-CN"/>
        </w:rPr>
      </w:pPr>
      <w:r>
        <w:rPr>
          <w:rFonts w:ascii="Garamond" w:hAnsi="Garamond" w:cstheme="majorBidi"/>
          <w:b/>
          <w:bCs/>
          <w:color w:val="1F4E79" w:themeColor="accent1" w:themeShade="80"/>
          <w:sz w:val="24"/>
          <w:szCs w:val="24"/>
        </w:rPr>
        <w:t>---Dossier physique --</w:t>
      </w:r>
    </w:p>
    <w:p w:rsidR="003B5EBC" w:rsidRDefault="00A1518B">
      <w:pPr>
        <w:jc w:val="both"/>
        <w:rPr>
          <w:rFonts w:ascii="Garamond" w:eastAsiaTheme="minorEastAsia" w:hAnsi="Garamond" w:cstheme="majorBidi"/>
          <w:sz w:val="24"/>
          <w:szCs w:val="24"/>
          <w:lang w:eastAsia="zh-CN"/>
        </w:rPr>
      </w:pPr>
      <w:r>
        <w:rPr>
          <w:rFonts w:ascii="Garamond" w:hAnsi="Garamond" w:cstheme="majorBidi"/>
          <w:sz w:val="24"/>
          <w:szCs w:val="24"/>
        </w:rPr>
        <w:t xml:space="preserve">Les dossiers scellés doivent être déposés au </w:t>
      </w:r>
      <w:r>
        <w:rPr>
          <w:rFonts w:ascii="Garamond" w:hAnsi="Garamond" w:cstheme="majorBidi"/>
          <w:b/>
          <w:bCs/>
          <w:sz w:val="24"/>
          <w:szCs w:val="24"/>
        </w:rPr>
        <w:t>Secrétariat de la Direction du Climat et de la Biodiversité</w:t>
      </w:r>
      <w:r>
        <w:rPr>
          <w:rFonts w:ascii="Garamond" w:hAnsi="Garamond" w:cstheme="majorBidi"/>
          <w:sz w:val="24"/>
          <w:szCs w:val="24"/>
        </w:rPr>
        <w:t>, situé au siège du Département du Développement Durable à RABAT, à l'adresse suivante : N°9, Avenue Al Araar, 420/1 Secteur 16, Hay Riad, Rabat.</w:t>
      </w:r>
    </w:p>
    <w:p w:rsidR="003B5EBC" w:rsidRDefault="00A1518B">
      <w:pPr>
        <w:jc w:val="both"/>
        <w:rPr>
          <w:rFonts w:ascii="Garamond" w:hAnsi="Garamond" w:cstheme="majorBidi"/>
          <w:sz w:val="24"/>
          <w:szCs w:val="24"/>
        </w:rPr>
      </w:pPr>
      <w:r>
        <w:rPr>
          <w:rFonts w:ascii="Garamond" w:hAnsi="Garamond" w:cstheme="majorBidi"/>
          <w:sz w:val="24"/>
          <w:szCs w:val="24"/>
        </w:rPr>
        <w:t xml:space="preserve">Le dossier global scellé doit être intitulé : « </w:t>
      </w:r>
      <w:r>
        <w:rPr>
          <w:rFonts w:ascii="Garamond" w:hAnsi="Garamond" w:cstheme="majorBidi"/>
          <w:sz w:val="24"/>
          <w:szCs w:val="24"/>
          <w:lang w:val="fr-FR"/>
        </w:rPr>
        <w:t xml:space="preserve">Appel à consultation relatif au Développement et Mise en place d’un système électronique normalisé de demande de permis APA pour l’accès aux ressources génétiques au Maroc— Nom du bureau d'études </w:t>
      </w:r>
      <w:r>
        <w:rPr>
          <w:rFonts w:ascii="Garamond" w:hAnsi="Garamond" w:cstheme="majorBidi"/>
          <w:sz w:val="24"/>
          <w:szCs w:val="24"/>
        </w:rPr>
        <w:t>» et se composer de deux enveloppes scellées :</w:t>
      </w:r>
    </w:p>
    <w:p w:rsidR="003B5EBC" w:rsidRDefault="00A1518B">
      <w:pPr>
        <w:jc w:val="both"/>
        <w:rPr>
          <w:rFonts w:ascii="Garamond" w:hAnsi="Garamond" w:cstheme="majorBidi"/>
          <w:sz w:val="24"/>
          <w:szCs w:val="24"/>
        </w:rPr>
      </w:pPr>
      <w:r>
        <w:rPr>
          <w:rFonts w:ascii="Garamond" w:hAnsi="Garamond" w:cstheme="majorBidi"/>
          <w:b/>
          <w:bCs/>
          <w:sz w:val="24"/>
          <w:szCs w:val="24"/>
        </w:rPr>
        <w:lastRenderedPageBreak/>
        <w:t>1</w:t>
      </w:r>
      <w:r>
        <w:rPr>
          <w:rFonts w:ascii="Garamond" w:hAnsi="Garamond" w:cstheme="majorBidi"/>
          <w:sz w:val="24"/>
          <w:szCs w:val="24"/>
        </w:rPr>
        <w:t xml:space="preserve">. Une première enveloppe contenant l’offre technique et le dossier administratif, avec l’intitulé : « </w:t>
      </w:r>
      <w:r>
        <w:rPr>
          <w:rFonts w:ascii="Garamond" w:hAnsi="Garamond" w:cstheme="majorBidi"/>
          <w:sz w:val="24"/>
          <w:szCs w:val="24"/>
          <w:lang w:val="fr-FR"/>
        </w:rPr>
        <w:t>Appel à consultation relatif au Développement et Mise en place d’un système électronique normalisé de demande de permis APA pour l’accès aux ressources génétiques au Maroc</w:t>
      </w:r>
      <w:r>
        <w:rPr>
          <w:rFonts w:ascii="Garamond" w:hAnsi="Garamond" w:cstheme="majorBidi"/>
          <w:sz w:val="24"/>
          <w:szCs w:val="24"/>
        </w:rPr>
        <w:t xml:space="preserve"> – Offre technique et dossier administratif _ Nom du bureau d'études ».</w:t>
      </w:r>
    </w:p>
    <w:p w:rsidR="003B5EBC" w:rsidRDefault="00A1518B">
      <w:pPr>
        <w:jc w:val="both"/>
        <w:rPr>
          <w:rFonts w:ascii="Garamond" w:eastAsiaTheme="minorEastAsia" w:hAnsi="Garamond" w:cstheme="majorBidi"/>
          <w:sz w:val="24"/>
          <w:szCs w:val="24"/>
          <w:lang w:eastAsia="zh-CN"/>
        </w:rPr>
      </w:pPr>
      <w:r>
        <w:rPr>
          <w:rFonts w:ascii="Garamond" w:hAnsi="Garamond" w:cstheme="majorBidi"/>
          <w:b/>
          <w:bCs/>
          <w:sz w:val="24"/>
          <w:szCs w:val="24"/>
        </w:rPr>
        <w:t>2</w:t>
      </w:r>
      <w:r>
        <w:rPr>
          <w:rFonts w:ascii="Garamond" w:hAnsi="Garamond" w:cstheme="majorBidi"/>
          <w:sz w:val="24"/>
          <w:szCs w:val="24"/>
        </w:rPr>
        <w:t>. Une deuxième enveloppe contenant l’offre financière signée et cachetée, avec l’intitulé : « Développement et Mise en place d’un système électronique normalisé de demande de permis APA pour l’accès aux ressources génétiques au Maroc – Offre financière _ Nom du bureau d'études ».</w:t>
      </w:r>
    </w:p>
    <w:p w:rsidR="003B5EBC" w:rsidRDefault="00A1518B">
      <w:pPr>
        <w:jc w:val="both"/>
        <w:rPr>
          <w:rFonts w:ascii="Garamond" w:eastAsiaTheme="minorEastAsia" w:hAnsi="Garamond" w:cstheme="majorBidi"/>
          <w:sz w:val="24"/>
          <w:szCs w:val="24"/>
          <w:lang w:eastAsia="zh-CN"/>
        </w:rPr>
      </w:pPr>
      <w:r>
        <w:rPr>
          <w:rFonts w:ascii="Garamond" w:hAnsi="Garamond" w:cstheme="majorBidi"/>
          <w:b/>
          <w:bCs/>
          <w:sz w:val="24"/>
          <w:szCs w:val="24"/>
        </w:rPr>
        <w:t>3</w:t>
      </w:r>
      <w:r>
        <w:rPr>
          <w:rFonts w:ascii="Garamond" w:hAnsi="Garamond" w:cstheme="majorBidi"/>
          <w:sz w:val="24"/>
          <w:szCs w:val="24"/>
        </w:rPr>
        <w:t>. Un support USB contenant l’offre technique et le dossier administratif au format numérique (PDF) doit également être inclus.</w:t>
      </w:r>
    </w:p>
    <w:p w:rsidR="003B5EBC" w:rsidRDefault="00A1518B">
      <w:pPr>
        <w:jc w:val="center"/>
        <w:rPr>
          <w:rFonts w:ascii="Garamond" w:hAnsi="Garamond" w:cstheme="majorBidi"/>
          <w:b/>
          <w:bCs/>
          <w:color w:val="1F4E79" w:themeColor="accent1" w:themeShade="80"/>
          <w:sz w:val="24"/>
          <w:szCs w:val="24"/>
        </w:rPr>
      </w:pPr>
      <w:r>
        <w:rPr>
          <w:rFonts w:ascii="Garamond" w:hAnsi="Garamond" w:cstheme="majorBidi"/>
          <w:b/>
          <w:bCs/>
          <w:color w:val="1F4E79" w:themeColor="accent1" w:themeShade="80"/>
          <w:sz w:val="24"/>
          <w:szCs w:val="24"/>
        </w:rPr>
        <w:t xml:space="preserve">-- Dossier numérique -- </w:t>
      </w:r>
    </w:p>
    <w:p w:rsidR="003B5EBC" w:rsidRDefault="00A1518B">
      <w:pPr>
        <w:rPr>
          <w:rFonts w:ascii="Garamond" w:hAnsi="Garamond" w:cstheme="majorHAnsi"/>
          <w:sz w:val="24"/>
          <w:szCs w:val="24"/>
        </w:rPr>
      </w:pPr>
      <w:r>
        <w:rPr>
          <w:rFonts w:ascii="Garamond" w:hAnsi="Garamond" w:cstheme="majorBidi"/>
          <w:sz w:val="24"/>
          <w:szCs w:val="24"/>
        </w:rPr>
        <w:t xml:space="preserve">Les offres peuvent être soumises en format PDF à l’adresse suivante : </w:t>
      </w:r>
      <w:hyperlink r:id="rId23" w:history="1">
        <w:r>
          <w:rPr>
            <w:rStyle w:val="Lienhypertexte"/>
            <w:rFonts w:ascii="Garamond" w:hAnsi="Garamond" w:cstheme="majorBidi"/>
            <w:sz w:val="24"/>
            <w:szCs w:val="24"/>
          </w:rPr>
          <w:t>projetapaii@environnement.gov.ma</w:t>
        </w:r>
      </w:hyperlink>
      <w:r>
        <w:rPr>
          <w:rFonts w:ascii="Garamond" w:hAnsi="Garamond" w:cstheme="majorHAnsi"/>
          <w:sz w:val="24"/>
          <w:szCs w:val="24"/>
        </w:rPr>
        <w:t xml:space="preserve"> </w:t>
      </w:r>
    </w:p>
    <w:p w:rsidR="003B5EBC" w:rsidRDefault="00A1518B">
      <w:pPr>
        <w:jc w:val="both"/>
        <w:rPr>
          <w:rFonts w:ascii="Garamond" w:eastAsiaTheme="minorEastAsia" w:hAnsi="Garamond" w:cstheme="majorBidi"/>
          <w:sz w:val="24"/>
          <w:szCs w:val="24"/>
          <w:lang w:eastAsia="zh-CN"/>
        </w:rPr>
      </w:pPr>
      <w:r>
        <w:rPr>
          <w:rFonts w:ascii="Garamond" w:hAnsi="Garamond" w:cstheme="majorBidi"/>
          <w:sz w:val="24"/>
          <w:szCs w:val="24"/>
        </w:rPr>
        <w:t>Les soumissions doivent se faire en deux e-mails séparés :</w:t>
      </w:r>
    </w:p>
    <w:p w:rsidR="003B5EBC" w:rsidRDefault="00A1518B">
      <w:pPr>
        <w:jc w:val="both"/>
        <w:rPr>
          <w:rFonts w:ascii="Garamond" w:hAnsi="Garamond" w:cstheme="majorBidi"/>
          <w:sz w:val="24"/>
          <w:szCs w:val="24"/>
        </w:rPr>
      </w:pPr>
      <w:r>
        <w:rPr>
          <w:rFonts w:ascii="Garamond" w:hAnsi="Garamond" w:cstheme="majorBidi"/>
          <w:b/>
          <w:bCs/>
          <w:sz w:val="24"/>
          <w:szCs w:val="24"/>
        </w:rPr>
        <w:t>1</w:t>
      </w:r>
      <w:r>
        <w:rPr>
          <w:rFonts w:ascii="Garamond" w:hAnsi="Garamond" w:cstheme="majorBidi"/>
          <w:sz w:val="24"/>
          <w:szCs w:val="24"/>
        </w:rPr>
        <w:t>. Un premier e-mail contenant l’offre technique et le dossier administratif, avec l’intitulé : «</w:t>
      </w:r>
      <w:r>
        <w:rPr>
          <w:rFonts w:ascii="Garamond" w:hAnsi="Garamond" w:cstheme="majorBidi"/>
          <w:sz w:val="24"/>
          <w:szCs w:val="24"/>
          <w:lang w:val="fr-FR"/>
        </w:rPr>
        <w:t xml:space="preserve"> Appel à consultation relatif au Développement et Mise en place d’un système électronique normalisé de demande de permis APA pour l’accès aux ressources génétiques au Maroc</w:t>
      </w:r>
      <w:r>
        <w:rPr>
          <w:rFonts w:ascii="Garamond" w:hAnsi="Garamond" w:cstheme="majorBidi"/>
          <w:sz w:val="24"/>
          <w:szCs w:val="24"/>
        </w:rPr>
        <w:t xml:space="preserve"> – Offre technique et dossier administratif _ Nom du bureau d’études ».</w:t>
      </w:r>
    </w:p>
    <w:p w:rsidR="003B5EBC" w:rsidRDefault="00A1518B">
      <w:pPr>
        <w:jc w:val="both"/>
        <w:rPr>
          <w:rFonts w:ascii="Garamond" w:hAnsi="Garamond" w:cstheme="majorBidi"/>
          <w:sz w:val="24"/>
          <w:szCs w:val="24"/>
        </w:rPr>
      </w:pPr>
      <w:r>
        <w:rPr>
          <w:rFonts w:ascii="Garamond" w:hAnsi="Garamond" w:cstheme="majorBidi"/>
          <w:b/>
          <w:bCs/>
          <w:sz w:val="24"/>
          <w:szCs w:val="24"/>
        </w:rPr>
        <w:t>2</w:t>
      </w:r>
      <w:r>
        <w:rPr>
          <w:rFonts w:ascii="Garamond" w:hAnsi="Garamond" w:cstheme="majorBidi"/>
          <w:sz w:val="24"/>
          <w:szCs w:val="24"/>
        </w:rPr>
        <w:t>. Un deuxième e-mail contenant l’offre financière signée et cachetée, avec l’intitulé : «</w:t>
      </w:r>
      <w:r>
        <w:rPr>
          <w:rFonts w:ascii="Garamond" w:hAnsi="Garamond" w:cstheme="majorBidi"/>
          <w:sz w:val="24"/>
          <w:szCs w:val="24"/>
          <w:lang w:val="fr-FR"/>
        </w:rPr>
        <w:t xml:space="preserve"> Appel à consultation relatif au Développement et Mise en place d’un système électronique normalisé de demande de permis APA pour l’accès aux ressources génétiques au Maroc </w:t>
      </w:r>
      <w:r>
        <w:rPr>
          <w:rFonts w:ascii="Garamond" w:hAnsi="Garamond" w:cstheme="majorBidi"/>
          <w:sz w:val="24"/>
          <w:szCs w:val="24"/>
        </w:rPr>
        <w:t>– Offre financière _ Nom du bureau d'études ».</w:t>
      </w:r>
    </w:p>
    <w:p w:rsidR="003B5EBC" w:rsidRDefault="00A1518B">
      <w:pPr>
        <w:jc w:val="both"/>
        <w:rPr>
          <w:rFonts w:ascii="Garamond" w:hAnsi="Garamond" w:cstheme="majorBidi"/>
          <w:i/>
          <w:iCs/>
          <w:color w:val="1F4E79" w:themeColor="accent1" w:themeShade="80"/>
          <w:sz w:val="24"/>
          <w:szCs w:val="24"/>
        </w:rPr>
      </w:pPr>
      <w:r>
        <w:rPr>
          <w:rFonts w:ascii="Garamond" w:hAnsi="Garamond" w:cstheme="majorBidi"/>
          <w:i/>
          <w:iCs/>
          <w:color w:val="1F4E79" w:themeColor="accent1" w:themeShade="80"/>
          <w:sz w:val="24"/>
          <w:szCs w:val="24"/>
          <w:u w:val="single"/>
        </w:rPr>
        <w:t xml:space="preserve">Remarque </w:t>
      </w:r>
      <w:r>
        <w:rPr>
          <w:rFonts w:ascii="Garamond" w:hAnsi="Garamond" w:cstheme="majorBidi"/>
          <w:i/>
          <w:iCs/>
          <w:color w:val="1F4E79" w:themeColor="accent1" w:themeShade="80"/>
          <w:sz w:val="24"/>
          <w:szCs w:val="24"/>
        </w:rPr>
        <w:t xml:space="preserve">: </w:t>
      </w:r>
      <w:r>
        <w:rPr>
          <w:rFonts w:ascii="Garamond" w:eastAsiaTheme="minorEastAsia" w:hAnsi="Garamond" w:cstheme="majorBidi"/>
          <w:i/>
          <w:iCs/>
          <w:color w:val="1F4E79" w:themeColor="accent1" w:themeShade="80"/>
          <w:sz w:val="24"/>
          <w:szCs w:val="24"/>
          <w:lang w:eastAsia="zh-CN"/>
        </w:rPr>
        <w:t>L</w:t>
      </w:r>
      <w:r>
        <w:rPr>
          <w:rFonts w:ascii="Garamond" w:hAnsi="Garamond" w:cstheme="majorBidi"/>
          <w:i/>
          <w:iCs/>
          <w:color w:val="1F4E79" w:themeColor="accent1" w:themeShade="80"/>
          <w:sz w:val="24"/>
          <w:szCs w:val="24"/>
        </w:rPr>
        <w:t>ors du partage de liens cloud, il est impératif de choisir des liens sans date d'expiration. En cas d'expiration du lien rendant le contenu inaccessible, l'offre sera automatiquement rejetée.</w:t>
      </w:r>
    </w:p>
    <w:p w:rsidR="003B5EBC" w:rsidRDefault="003B5EBC">
      <w:pPr>
        <w:jc w:val="both"/>
        <w:rPr>
          <w:rFonts w:asciiTheme="majorBidi" w:eastAsiaTheme="minorEastAsia" w:hAnsiTheme="majorBidi" w:cstheme="majorBidi"/>
          <w:b/>
          <w:bCs/>
          <w:i/>
          <w:iCs/>
          <w:sz w:val="24"/>
          <w:szCs w:val="24"/>
          <w:lang w:eastAsia="zh-CN"/>
        </w:rPr>
      </w:pPr>
    </w:p>
    <w:p w:rsidR="003B5EBC" w:rsidRDefault="00A1518B">
      <w:pPr>
        <w:pStyle w:val="Paragraphedeliste"/>
        <w:numPr>
          <w:ilvl w:val="0"/>
          <w:numId w:val="5"/>
        </w:numPr>
        <w:ind w:left="567" w:hanging="207"/>
        <w:jc w:val="both"/>
        <w:rPr>
          <w:rFonts w:ascii="Garamond" w:hAnsi="Garamond" w:cstheme="majorBidi"/>
          <w:b/>
          <w:bCs/>
          <w:sz w:val="28"/>
          <w:szCs w:val="28"/>
          <w:u w:val="single"/>
        </w:rPr>
      </w:pPr>
      <w:r>
        <w:rPr>
          <w:rFonts w:ascii="Garamond" w:hAnsi="Garamond" w:cstheme="majorBidi"/>
          <w:b/>
          <w:bCs/>
          <w:sz w:val="28"/>
          <w:szCs w:val="28"/>
          <w:u w:val="single"/>
        </w:rPr>
        <w:t xml:space="preserve">Durée de la consultation </w:t>
      </w:r>
    </w:p>
    <w:p w:rsidR="003B5EBC" w:rsidRDefault="00A1518B" w:rsidP="00C00FCA">
      <w:pPr>
        <w:pStyle w:val="NormalWeb"/>
        <w:rPr>
          <w:rFonts w:ascii="Garamond" w:hAnsi="Garamond" w:cstheme="majorBidi"/>
        </w:rPr>
      </w:pPr>
      <w:r>
        <w:rPr>
          <w:rFonts w:ascii="Garamond" w:hAnsi="Garamond" w:cstheme="majorBidi"/>
        </w:rPr>
        <w:t>La durée de la présente prestation est fixée à 6 mois à compter de la date de signature du contrat.</w:t>
      </w:r>
    </w:p>
    <w:p w:rsidR="00C00FCA" w:rsidRDefault="00C00FCA" w:rsidP="00C00FCA">
      <w:pPr>
        <w:pStyle w:val="NormalWeb"/>
        <w:rPr>
          <w:rFonts w:ascii="Garamond" w:hAnsi="Garamond" w:cstheme="majorBidi"/>
        </w:rPr>
      </w:pPr>
    </w:p>
    <w:p w:rsidR="003B5EBC" w:rsidRDefault="00A1518B">
      <w:pPr>
        <w:pStyle w:val="Paragraphedeliste"/>
        <w:numPr>
          <w:ilvl w:val="0"/>
          <w:numId w:val="5"/>
        </w:numPr>
        <w:spacing w:after="0" w:line="240" w:lineRule="auto"/>
        <w:ind w:left="426" w:hanging="66"/>
        <w:rPr>
          <w:rFonts w:ascii="Garamond" w:hAnsi="Garamond" w:cstheme="majorBidi"/>
          <w:b/>
          <w:bCs/>
          <w:sz w:val="28"/>
          <w:szCs w:val="28"/>
          <w:u w:val="single"/>
        </w:rPr>
      </w:pPr>
      <w:r>
        <w:rPr>
          <w:rFonts w:ascii="Garamond" w:hAnsi="Garamond" w:cstheme="majorBidi"/>
          <w:b/>
          <w:bCs/>
          <w:sz w:val="28"/>
          <w:szCs w:val="28"/>
          <w:u w:val="single"/>
        </w:rPr>
        <w:t>Règles de consultation</w:t>
      </w:r>
    </w:p>
    <w:p w:rsidR="003B5EBC" w:rsidRDefault="003B5EBC">
      <w:pPr>
        <w:pStyle w:val="Paragraphedeliste"/>
        <w:spacing w:after="0" w:line="240" w:lineRule="auto"/>
        <w:rPr>
          <w:rFonts w:ascii="Calisto MT" w:hAnsi="Calisto MT" w:cstheme="majorHAnsi"/>
          <w:b/>
          <w:bCs/>
          <w:sz w:val="28"/>
          <w:szCs w:val="28"/>
        </w:rPr>
      </w:pPr>
    </w:p>
    <w:p w:rsidR="003B5EBC" w:rsidRDefault="00A1518B">
      <w:pPr>
        <w:pStyle w:val="Paragraphedeliste"/>
        <w:numPr>
          <w:ilvl w:val="0"/>
          <w:numId w:val="41"/>
        </w:numPr>
        <w:ind w:left="426"/>
        <w:jc w:val="both"/>
        <w:rPr>
          <w:rFonts w:ascii="Garamond" w:hAnsi="Garamond" w:cstheme="majorBidi"/>
          <w:b/>
          <w:bCs/>
          <w:sz w:val="26"/>
          <w:szCs w:val="26"/>
        </w:rPr>
      </w:pPr>
      <w:r>
        <w:rPr>
          <w:rFonts w:ascii="Garamond" w:hAnsi="Garamond" w:cstheme="majorBidi"/>
          <w:b/>
          <w:bCs/>
          <w:sz w:val="26"/>
          <w:szCs w:val="26"/>
        </w:rPr>
        <w:t xml:space="preserve">Conditions requises des concurrents </w:t>
      </w:r>
    </w:p>
    <w:p w:rsidR="003B5EBC" w:rsidRDefault="00A1518B">
      <w:pPr>
        <w:jc w:val="both"/>
        <w:rPr>
          <w:rFonts w:ascii="Garamond" w:hAnsi="Garamond" w:cstheme="majorBidi"/>
          <w:sz w:val="24"/>
          <w:szCs w:val="24"/>
          <w:lang w:val="fr-FR"/>
        </w:rPr>
      </w:pPr>
      <w:r>
        <w:rPr>
          <w:rFonts w:ascii="Garamond" w:hAnsi="Garamond" w:cstheme="majorBidi"/>
          <w:sz w:val="24"/>
          <w:szCs w:val="24"/>
          <w:lang w:val="fr-FR"/>
        </w:rPr>
        <w:t>Seuls les bureaux d'études peuvent participer à la présente consultation, conformément aux qualifications sollicitées ci-dessous. Les candidatures individuelles ne sont pas recevables.</w:t>
      </w:r>
    </w:p>
    <w:p w:rsidR="00C00FCA" w:rsidRDefault="00C00FCA">
      <w:pPr>
        <w:jc w:val="both"/>
        <w:rPr>
          <w:rFonts w:ascii="Garamond" w:hAnsi="Garamond" w:cstheme="majorBidi"/>
          <w:sz w:val="24"/>
          <w:szCs w:val="24"/>
          <w:lang w:val="fr-FR"/>
        </w:rPr>
      </w:pPr>
    </w:p>
    <w:p w:rsidR="003B5EBC" w:rsidRDefault="00A1518B">
      <w:pPr>
        <w:pStyle w:val="Paragraphedeliste"/>
        <w:numPr>
          <w:ilvl w:val="0"/>
          <w:numId w:val="41"/>
        </w:numPr>
        <w:spacing w:before="120" w:after="120" w:line="288" w:lineRule="auto"/>
        <w:ind w:left="426"/>
        <w:jc w:val="both"/>
        <w:rPr>
          <w:rFonts w:ascii="Garamond" w:hAnsi="Garamond" w:cstheme="majorBidi"/>
          <w:b/>
          <w:bCs/>
          <w:sz w:val="26"/>
          <w:szCs w:val="26"/>
        </w:rPr>
      </w:pPr>
      <w:r>
        <w:rPr>
          <w:rFonts w:ascii="Garamond" w:hAnsi="Garamond" w:cstheme="majorBidi"/>
          <w:b/>
          <w:bCs/>
          <w:sz w:val="26"/>
          <w:szCs w:val="26"/>
        </w:rPr>
        <w:lastRenderedPageBreak/>
        <w:t xml:space="preserve">Qualifications et expériences requises de l’équipe technique </w:t>
      </w:r>
    </w:p>
    <w:p w:rsidR="003B5EBC" w:rsidRDefault="00A1518B">
      <w:pPr>
        <w:spacing w:before="120" w:after="120" w:line="288" w:lineRule="auto"/>
        <w:jc w:val="both"/>
        <w:rPr>
          <w:rFonts w:ascii="Garamond" w:hAnsi="Garamond" w:cstheme="majorBidi"/>
          <w:sz w:val="24"/>
          <w:szCs w:val="24"/>
          <w:lang w:val="fr-FR"/>
        </w:rPr>
      </w:pPr>
      <w:r>
        <w:rPr>
          <w:rFonts w:ascii="Garamond" w:hAnsi="Garamond" w:cstheme="majorBidi"/>
          <w:sz w:val="24"/>
          <w:szCs w:val="24"/>
        </w:rPr>
        <w:t>Le prestataire devra mobiliser une équipe technique pluridisciplinaire disposant des compétences nécessaires pour assurer la conception, le développement et la mise en place d’un système électronique normalisé de permis APA. L’équipe devra couvrir, de manière complémentaire, les dimensions liées à l’architecture des systèmes d’information, à la gouvernance des ressources naturelles et au Protocole de Nagoya, ainsi qu’à la numérisation des processus administratifs et des services publics.</w:t>
      </w:r>
    </w:p>
    <w:p w:rsidR="003B5EBC" w:rsidRDefault="003B5EBC">
      <w:pPr>
        <w:spacing w:before="120" w:after="120" w:line="288" w:lineRule="auto"/>
        <w:jc w:val="both"/>
        <w:rPr>
          <w:rFonts w:ascii="Garamond" w:hAnsi="Garamond" w:cstheme="majorBidi"/>
          <w:sz w:val="24"/>
          <w:szCs w:val="24"/>
          <w:lang w:val="fr-FR"/>
        </w:rPr>
      </w:pPr>
    </w:p>
    <w:p w:rsidR="003B5EBC" w:rsidRDefault="00A1518B">
      <w:pPr>
        <w:spacing w:before="120" w:after="120" w:line="288" w:lineRule="auto"/>
        <w:ind w:left="142"/>
        <w:jc w:val="both"/>
        <w:rPr>
          <w:rFonts w:ascii="Garamond" w:hAnsi="Garamond" w:cstheme="majorBidi"/>
          <w:b/>
          <w:bCs/>
          <w:sz w:val="24"/>
          <w:szCs w:val="24"/>
        </w:rPr>
      </w:pPr>
      <w:r>
        <w:rPr>
          <w:rFonts w:ascii="Garamond" w:hAnsi="Garamond" w:cstheme="majorBidi"/>
          <w:b/>
          <w:bCs/>
          <w:color w:val="1F4E79" w:themeColor="accent1" w:themeShade="80"/>
          <w:sz w:val="24"/>
          <w:szCs w:val="24"/>
        </w:rPr>
        <w:t>2.</w:t>
      </w:r>
      <w:r>
        <w:rPr>
          <w:rFonts w:ascii="Garamond" w:hAnsi="Garamond" w:cstheme="majorBidi"/>
          <w:b/>
          <w:bCs/>
          <w:color w:val="1F4E79" w:themeColor="accent1" w:themeShade="80"/>
          <w:sz w:val="26"/>
          <w:szCs w:val="26"/>
        </w:rPr>
        <w:t xml:space="preserve">1 Consultant en architecture des systèmes d’information avec une expertise en gestion des plateformes électroniques et des bases de données </w:t>
      </w:r>
    </w:p>
    <w:p w:rsidR="003B5EBC" w:rsidRDefault="00A1518B">
      <w:pPr>
        <w:spacing w:before="120" w:after="120" w:line="288" w:lineRule="auto"/>
        <w:ind w:left="142"/>
        <w:jc w:val="both"/>
        <w:rPr>
          <w:rFonts w:ascii="Garamond" w:hAnsi="Garamond" w:cstheme="majorBidi"/>
          <w:sz w:val="24"/>
          <w:szCs w:val="24"/>
          <w:lang w:val="fr-FR"/>
        </w:rPr>
      </w:pPr>
      <w:r>
        <w:rPr>
          <w:rFonts w:ascii="Garamond" w:hAnsi="Garamond" w:cstheme="majorBidi"/>
          <w:color w:val="1F4E79" w:themeColor="accent1" w:themeShade="80"/>
          <w:sz w:val="24"/>
          <w:szCs w:val="24"/>
          <w:lang w:val="fr-FR"/>
        </w:rPr>
        <w:t>Rôle dans la prestation :</w:t>
      </w:r>
      <w:r>
        <w:rPr>
          <w:rFonts w:ascii="Garamond" w:hAnsi="Garamond" w:cstheme="majorBidi"/>
          <w:b/>
          <w:bCs/>
          <w:color w:val="1F4E79" w:themeColor="accent1" w:themeShade="80"/>
          <w:sz w:val="24"/>
          <w:szCs w:val="24"/>
          <w:lang w:val="fr-FR"/>
        </w:rPr>
        <w:t xml:space="preserve"> </w:t>
      </w:r>
      <w:r>
        <w:rPr>
          <w:rFonts w:ascii="Garamond" w:hAnsi="Garamond" w:cstheme="majorBidi"/>
          <w:sz w:val="24"/>
          <w:szCs w:val="24"/>
        </w:rPr>
        <w:t>Le consultant en architecture des systèmes d’information aura pour rôle d’appuyer la conception fonctionnelle et technique du système électronique de permis APA, en veillant à la cohérence de son architecture, à la structuration des bases de données, à la définition des workflows numériques, ainsi qu’à la compatibilité de la plateforme avec l’environnement informatique du ministère chargé de l’environnement. Il contribuera également à l’analyse des besoins d’interopérabilité, notamment avec le CHM Biodiversité du Maroc et les autres systèmes pertinents.</w:t>
      </w:r>
    </w:p>
    <w:p w:rsidR="003B5EBC" w:rsidRDefault="00A1518B">
      <w:pPr>
        <w:spacing w:before="120" w:after="120" w:line="288" w:lineRule="auto"/>
        <w:ind w:left="142"/>
        <w:jc w:val="both"/>
        <w:rPr>
          <w:rFonts w:ascii="Garamond" w:hAnsi="Garamond" w:cstheme="majorBidi"/>
          <w:sz w:val="24"/>
          <w:szCs w:val="24"/>
          <w:lang w:val="fr-FR"/>
        </w:rPr>
      </w:pPr>
      <w:r>
        <w:rPr>
          <w:rFonts w:ascii="Garamond" w:hAnsi="Garamond" w:cstheme="majorBidi"/>
          <w:color w:val="1F4E79" w:themeColor="accent1" w:themeShade="80"/>
          <w:sz w:val="24"/>
          <w:szCs w:val="24"/>
          <w:lang w:val="fr-FR"/>
        </w:rPr>
        <w:t>Livrables couverts :</w:t>
      </w:r>
      <w:r>
        <w:rPr>
          <w:rFonts w:ascii="Garamond" w:hAnsi="Garamond" w:cstheme="majorBidi"/>
          <w:b/>
          <w:bCs/>
          <w:color w:val="1F4E79" w:themeColor="accent1" w:themeShade="80"/>
          <w:sz w:val="24"/>
          <w:szCs w:val="24"/>
          <w:lang w:val="fr-FR"/>
        </w:rPr>
        <w:t xml:space="preserve"> </w:t>
      </w:r>
      <w:r>
        <w:rPr>
          <w:rFonts w:ascii="Garamond" w:hAnsi="Garamond" w:cstheme="majorBidi"/>
          <w:color w:val="000000" w:themeColor="text1"/>
          <w:sz w:val="24"/>
          <w:szCs w:val="24"/>
          <w:lang w:val="fr-FR"/>
        </w:rPr>
        <w:t>Ce profil contribuera principalement aux livrables suivants « </w:t>
      </w:r>
      <w:r>
        <w:rPr>
          <w:rFonts w:ascii="Garamond" w:hAnsi="Garamond" w:cstheme="majorBidi"/>
          <w:color w:val="000000" w:themeColor="text1"/>
          <w:sz w:val="24"/>
          <w:szCs w:val="24"/>
        </w:rPr>
        <w:t>L2.1 — Cahier des charges fonctionnel et technique ; L2.2 — Architecture fonctionnelle et technique détaillée ; L2.3 — Note d’analyse de l’interopérabilité, de l’hébergement et de la compatibilité informatique ; L3.1 — Version bêta de la plateforme électronique APA ; L3.2 — Plateforme testée, validée et mise en ligne ; L3.3 — Manuels, documentation technique, formation et transfert de compétences ; LF — Rapport final d’évaluation de la prestation »</w:t>
      </w:r>
      <w:r>
        <w:rPr>
          <w:rFonts w:ascii="Garamond" w:hAnsi="Garamond" w:cstheme="majorBidi"/>
          <w:sz w:val="24"/>
          <w:szCs w:val="24"/>
          <w:lang w:val="fr-FR"/>
        </w:rPr>
        <w:t>.</w:t>
      </w:r>
    </w:p>
    <w:p w:rsidR="003B5EBC" w:rsidRDefault="00A1518B">
      <w:pPr>
        <w:spacing w:before="80" w:after="80"/>
        <w:ind w:left="142"/>
        <w:jc w:val="both"/>
        <w:rPr>
          <w:rFonts w:ascii="Garamond" w:hAnsi="Garamond" w:cstheme="majorBidi"/>
          <w:sz w:val="24"/>
          <w:szCs w:val="24"/>
          <w:lang w:val="fr-FR"/>
        </w:rPr>
      </w:pPr>
      <w:r>
        <w:rPr>
          <w:rFonts w:ascii="Garamond" w:hAnsi="Garamond" w:cstheme="majorBidi"/>
          <w:color w:val="1F4E79" w:themeColor="accent1" w:themeShade="80"/>
          <w:sz w:val="24"/>
          <w:szCs w:val="24"/>
          <w:lang w:val="fr-FR"/>
        </w:rPr>
        <w:t>Qualifications académiques :</w:t>
      </w:r>
      <w:r>
        <w:rPr>
          <w:rFonts w:ascii="Garamond" w:hAnsi="Garamond" w:cstheme="majorBidi"/>
          <w:b/>
          <w:bCs/>
          <w:color w:val="1F4E79" w:themeColor="accent1" w:themeShade="80"/>
          <w:sz w:val="24"/>
          <w:szCs w:val="24"/>
          <w:lang w:val="fr-FR"/>
        </w:rPr>
        <w:t xml:space="preserve"> </w:t>
      </w:r>
      <w:r>
        <w:rPr>
          <w:rFonts w:ascii="Garamond" w:hAnsi="Garamond" w:cstheme="majorBidi"/>
          <w:color w:val="000000" w:themeColor="text1"/>
          <w:sz w:val="24"/>
          <w:szCs w:val="24"/>
          <w:lang w:val="fr-FR"/>
        </w:rPr>
        <w:t>Diplôme en systèmes d’information, génie logiciel, informatique ou équivalent.</w:t>
      </w:r>
    </w:p>
    <w:p w:rsidR="003B5EBC" w:rsidRDefault="00A1518B">
      <w:pPr>
        <w:spacing w:before="80" w:after="80"/>
        <w:ind w:left="142"/>
        <w:jc w:val="both"/>
        <w:rPr>
          <w:rFonts w:ascii="Garamond" w:hAnsi="Garamond" w:cstheme="majorBidi"/>
          <w:sz w:val="24"/>
          <w:szCs w:val="24"/>
          <w:lang w:val="fr-FR"/>
        </w:rPr>
      </w:pPr>
      <w:r>
        <w:rPr>
          <w:rFonts w:ascii="Garamond" w:hAnsi="Garamond" w:cstheme="majorBidi"/>
          <w:color w:val="1F4E79" w:themeColor="accent1" w:themeShade="80"/>
          <w:sz w:val="24"/>
          <w:szCs w:val="24"/>
          <w:lang w:val="fr-FR"/>
        </w:rPr>
        <w:t>Expérience générale :</w:t>
      </w:r>
      <w:r>
        <w:rPr>
          <w:rFonts w:ascii="Garamond" w:hAnsi="Garamond" w:cstheme="majorBidi"/>
          <w:b/>
          <w:bCs/>
          <w:color w:val="1F4E79" w:themeColor="accent1" w:themeShade="80"/>
          <w:sz w:val="24"/>
          <w:szCs w:val="24"/>
          <w:lang w:val="fr-FR"/>
        </w:rPr>
        <w:t xml:space="preserve"> </w:t>
      </w:r>
      <w:r>
        <w:rPr>
          <w:rFonts w:ascii="Garamond" w:hAnsi="Garamond" w:cstheme="majorBidi"/>
          <w:color w:val="000000" w:themeColor="text1"/>
          <w:sz w:val="24"/>
          <w:szCs w:val="24"/>
          <w:lang w:val="fr-FR"/>
        </w:rPr>
        <w:t>10 ans d’expérience minimum dans l’architecture et le développement de systèmes d’information complexes.</w:t>
      </w:r>
    </w:p>
    <w:p w:rsidR="003B5EBC" w:rsidRDefault="00A1518B">
      <w:pPr>
        <w:spacing w:before="80" w:after="80"/>
        <w:ind w:left="284" w:hanging="142"/>
        <w:rPr>
          <w:rFonts w:ascii="Garamond" w:hAnsi="Garamond" w:cstheme="majorBidi"/>
          <w:color w:val="1F4E79" w:themeColor="accent1" w:themeShade="80"/>
          <w:sz w:val="24"/>
          <w:szCs w:val="24"/>
        </w:rPr>
      </w:pPr>
      <w:r>
        <w:rPr>
          <w:rFonts w:ascii="Garamond" w:hAnsi="Garamond" w:cstheme="majorBidi"/>
          <w:color w:val="1F4E79" w:themeColor="accent1" w:themeShade="80"/>
          <w:sz w:val="24"/>
          <w:szCs w:val="24"/>
        </w:rPr>
        <w:t>Expérience spécifique :</w:t>
      </w:r>
    </w:p>
    <w:p w:rsidR="003B5EBC" w:rsidRDefault="00A1518B">
      <w:pPr>
        <w:pStyle w:val="Paragraphedeliste"/>
        <w:numPr>
          <w:ilvl w:val="0"/>
          <w:numId w:val="42"/>
        </w:numPr>
        <w:spacing w:before="60" w:after="60" w:line="240" w:lineRule="auto"/>
        <w:contextualSpacing w:val="0"/>
        <w:rPr>
          <w:rFonts w:ascii="Garamond" w:hAnsi="Garamond" w:cstheme="majorBidi"/>
          <w:sz w:val="24"/>
          <w:szCs w:val="24"/>
          <w:lang w:val="fr-FR"/>
        </w:rPr>
      </w:pPr>
      <w:r>
        <w:rPr>
          <w:rFonts w:ascii="Garamond" w:hAnsi="Garamond" w:cstheme="majorBidi"/>
          <w:sz w:val="24"/>
          <w:szCs w:val="24"/>
          <w:lang w:val="fr-FR"/>
        </w:rPr>
        <w:t>Démontrer au moins trois (3) expériences distinctes de développement de plateformes et/ou systèmes d’information et de procession électronique.</w:t>
      </w:r>
    </w:p>
    <w:p w:rsidR="003B5EBC" w:rsidRDefault="003B5EBC">
      <w:pPr>
        <w:pStyle w:val="Paragraphedeliste"/>
        <w:spacing w:before="60" w:after="60" w:line="240" w:lineRule="auto"/>
        <w:contextualSpacing w:val="0"/>
        <w:rPr>
          <w:rFonts w:ascii="Garamond" w:hAnsi="Garamond" w:cstheme="majorBidi"/>
          <w:sz w:val="24"/>
          <w:szCs w:val="24"/>
          <w:lang w:val="fr-FR"/>
        </w:rPr>
      </w:pPr>
    </w:p>
    <w:p w:rsidR="003B5EBC" w:rsidRDefault="00A1518B">
      <w:pPr>
        <w:spacing w:before="120" w:after="120" w:line="288" w:lineRule="auto"/>
        <w:ind w:left="426" w:hanging="142"/>
        <w:jc w:val="both"/>
        <w:rPr>
          <w:rFonts w:ascii="Garamond" w:hAnsi="Garamond" w:cstheme="majorBidi"/>
          <w:b/>
          <w:bCs/>
          <w:color w:val="1F4E79" w:themeColor="accent1" w:themeShade="80"/>
          <w:sz w:val="26"/>
          <w:szCs w:val="26"/>
        </w:rPr>
      </w:pPr>
      <w:r>
        <w:rPr>
          <w:rFonts w:ascii="Garamond" w:hAnsi="Garamond" w:cstheme="majorBidi"/>
          <w:b/>
          <w:bCs/>
          <w:color w:val="1F4E79" w:themeColor="accent1" w:themeShade="80"/>
          <w:sz w:val="26"/>
          <w:szCs w:val="26"/>
        </w:rPr>
        <w:t>2.2 Consultant en gouvernance des ressources naturelles ayant une expérience dans la mise en œuvre du Protocole de Nagoya et la gestion des systèmes de permis APA relatifs aux ressources génétiques</w:t>
      </w:r>
    </w:p>
    <w:p w:rsidR="003B5EBC" w:rsidRDefault="00A1518B">
      <w:pPr>
        <w:spacing w:before="80" w:after="80"/>
        <w:ind w:left="284" w:right="141"/>
        <w:jc w:val="both"/>
        <w:rPr>
          <w:rFonts w:ascii="Garamond" w:hAnsi="Garamond" w:cstheme="majorBidi"/>
          <w:sz w:val="24"/>
          <w:szCs w:val="24"/>
          <w:lang w:val="fr-FR"/>
        </w:rPr>
      </w:pPr>
      <w:r>
        <w:rPr>
          <w:rFonts w:ascii="Garamond" w:hAnsi="Garamond" w:cstheme="majorBidi"/>
          <w:color w:val="1F4E79" w:themeColor="accent1" w:themeShade="80"/>
          <w:sz w:val="24"/>
          <w:szCs w:val="24"/>
          <w:lang w:val="fr-FR"/>
        </w:rPr>
        <w:t>Rôle dans la prestation :</w:t>
      </w:r>
      <w:r>
        <w:rPr>
          <w:rFonts w:ascii="Garamond" w:hAnsi="Garamond" w:cstheme="majorBidi"/>
          <w:b/>
          <w:bCs/>
          <w:color w:val="1F4E79" w:themeColor="accent1" w:themeShade="80"/>
          <w:sz w:val="24"/>
          <w:szCs w:val="24"/>
          <w:lang w:val="fr-FR"/>
        </w:rPr>
        <w:t xml:space="preserve"> </w:t>
      </w:r>
      <w:r>
        <w:rPr>
          <w:rFonts w:ascii="Garamond" w:hAnsi="Garamond" w:cstheme="majorBidi"/>
          <w:color w:val="000000" w:themeColor="text1"/>
          <w:sz w:val="24"/>
          <w:szCs w:val="24"/>
          <w:lang w:val="fr-FR"/>
        </w:rPr>
        <w:t xml:space="preserve">Le consultant en gouvernance des ressources naturelles aura pour rôle d’apporter l’expertise thématique nécessaire sur le Protocole de Nagoya, l’Accès et le Partage des Avantages — APA, ainsi que sur les mécanismes de gouvernance liés aux ressources génétiques. Il contribuera à l’analyse du </w:t>
      </w:r>
      <w:r>
        <w:rPr>
          <w:rFonts w:ascii="Garamond" w:hAnsi="Garamond" w:cstheme="majorBidi"/>
          <w:color w:val="000000" w:themeColor="text1"/>
          <w:sz w:val="24"/>
          <w:szCs w:val="24"/>
          <w:lang w:val="fr-FR"/>
        </w:rPr>
        <w:lastRenderedPageBreak/>
        <w:t xml:space="preserve">cadre juridique et institutionnel, à la décortication du </w:t>
      </w:r>
      <w:hyperlink r:id="rId24" w:history="1">
        <w:r>
          <w:rPr>
            <w:rStyle w:val="Lienhypertexte"/>
            <w:rFonts w:ascii="Garamond" w:hAnsi="Garamond"/>
            <w:sz w:val="24"/>
            <w:szCs w:val="24"/>
          </w:rPr>
          <w:t>Cadre r</w:t>
        </w:r>
        <w:r>
          <w:rPr>
            <w:rStyle w:val="Lienhypertexte"/>
            <w:rFonts w:ascii="Garamond" w:eastAsia="Malgun Gothic" w:hAnsi="Garamond" w:cs="Malgun Gothic"/>
            <w:sz w:val="24"/>
            <w:szCs w:val="24"/>
          </w:rPr>
          <w:t>é</w:t>
        </w:r>
        <w:r>
          <w:rPr>
            <w:rStyle w:val="Lienhypertexte"/>
            <w:rFonts w:ascii="Garamond" w:hAnsi="Garamond"/>
            <w:sz w:val="24"/>
            <w:szCs w:val="24"/>
          </w:rPr>
          <w:t>glementaire national de l'APA</w:t>
        </w:r>
      </w:hyperlink>
      <w:r>
        <w:rPr>
          <w:rFonts w:ascii="Garamond" w:hAnsi="Garamond" w:cstheme="majorBidi"/>
          <w:color w:val="000000" w:themeColor="text1"/>
          <w:sz w:val="24"/>
          <w:szCs w:val="24"/>
          <w:lang w:val="fr-FR"/>
        </w:rPr>
        <w:t>, à la cartographie des responsabilités des autorités compétentes et à la définition des processus d’octroi, de suivi et de conformité des permis APA.</w:t>
      </w:r>
    </w:p>
    <w:p w:rsidR="003B5EBC" w:rsidRDefault="00A1518B">
      <w:pPr>
        <w:spacing w:before="80" w:after="80"/>
        <w:ind w:left="284" w:right="141"/>
        <w:jc w:val="both"/>
        <w:rPr>
          <w:rFonts w:ascii="Garamond" w:hAnsi="Garamond" w:cstheme="majorBidi"/>
          <w:sz w:val="24"/>
          <w:szCs w:val="24"/>
          <w:lang w:val="fr-FR"/>
        </w:rPr>
      </w:pPr>
      <w:r>
        <w:rPr>
          <w:rFonts w:ascii="Garamond" w:hAnsi="Garamond" w:cstheme="majorBidi"/>
          <w:color w:val="1F4E79" w:themeColor="accent1" w:themeShade="80"/>
          <w:sz w:val="24"/>
          <w:szCs w:val="24"/>
          <w:lang w:val="fr-FR"/>
        </w:rPr>
        <w:t>Livrables couverts :</w:t>
      </w:r>
      <w:r>
        <w:rPr>
          <w:rFonts w:ascii="Garamond" w:hAnsi="Garamond" w:cstheme="majorBidi"/>
          <w:b/>
          <w:bCs/>
          <w:color w:val="1F4E79" w:themeColor="accent1" w:themeShade="80"/>
          <w:sz w:val="24"/>
          <w:szCs w:val="24"/>
          <w:lang w:val="fr-FR"/>
        </w:rPr>
        <w:t xml:space="preserve"> </w:t>
      </w:r>
      <w:r>
        <w:rPr>
          <w:rFonts w:ascii="Garamond" w:hAnsi="Garamond" w:cstheme="majorBidi"/>
          <w:sz w:val="24"/>
          <w:szCs w:val="24"/>
          <w:lang w:val="fr-FR"/>
        </w:rPr>
        <w:t>Ce profil contribuera principalement aux livrables suivants  « L1.1 — Note d’analyse juridique et réglementaire ; L1.2 — Rapport de cartographie des procédures et de gouvernance institutionnelle ; L1.3 — Rapport de benchmark et recommandations ; L2.1 — Cahier des charges fonctionnel et technique ; L3.3 — Manuels, documentation technique, formation et transfert de compétences ; LF — Rapport final d’évaluation de la prestation ».</w:t>
      </w:r>
    </w:p>
    <w:p w:rsidR="003B5EBC" w:rsidRDefault="00A1518B">
      <w:pPr>
        <w:spacing w:before="80" w:after="80"/>
        <w:ind w:left="284" w:right="141"/>
        <w:jc w:val="both"/>
        <w:rPr>
          <w:rFonts w:ascii="Garamond" w:hAnsi="Garamond" w:cstheme="majorBidi"/>
          <w:sz w:val="24"/>
          <w:szCs w:val="24"/>
          <w:lang w:val="fr-FR"/>
        </w:rPr>
      </w:pPr>
      <w:r>
        <w:rPr>
          <w:rFonts w:ascii="Garamond" w:hAnsi="Garamond" w:cstheme="majorBidi"/>
          <w:color w:val="1F4E79" w:themeColor="accent1" w:themeShade="80"/>
          <w:sz w:val="24"/>
          <w:szCs w:val="24"/>
          <w:lang w:val="fr-FR"/>
        </w:rPr>
        <w:t>Qualifications académiques :</w:t>
      </w:r>
      <w:r>
        <w:rPr>
          <w:rFonts w:ascii="Garamond" w:hAnsi="Garamond" w:cstheme="majorBidi"/>
          <w:b/>
          <w:bCs/>
          <w:color w:val="1F4E79" w:themeColor="accent1" w:themeShade="80"/>
          <w:sz w:val="24"/>
          <w:szCs w:val="24"/>
          <w:lang w:val="fr-FR"/>
        </w:rPr>
        <w:t xml:space="preserve"> </w:t>
      </w:r>
      <w:r>
        <w:rPr>
          <w:rFonts w:ascii="Garamond" w:hAnsi="Garamond" w:cstheme="majorBidi"/>
          <w:color w:val="000000" w:themeColor="text1"/>
          <w:sz w:val="24"/>
          <w:szCs w:val="24"/>
          <w:lang w:val="fr-FR"/>
        </w:rPr>
        <w:t>Master ou Doctorat en droit de l’environnement, gouvernance des ressources naturelles, ou équivalent.</w:t>
      </w:r>
    </w:p>
    <w:p w:rsidR="003B5EBC" w:rsidRDefault="00A1518B">
      <w:pPr>
        <w:spacing w:before="80" w:after="80"/>
        <w:ind w:left="284" w:right="141"/>
        <w:jc w:val="both"/>
        <w:rPr>
          <w:rFonts w:ascii="Garamond" w:hAnsi="Garamond" w:cstheme="majorBidi"/>
          <w:sz w:val="24"/>
          <w:szCs w:val="24"/>
          <w:lang w:val="fr-FR"/>
        </w:rPr>
      </w:pPr>
      <w:r>
        <w:rPr>
          <w:rFonts w:ascii="Garamond" w:hAnsi="Garamond" w:cstheme="majorBidi"/>
          <w:color w:val="1F4E79" w:themeColor="accent1" w:themeShade="80"/>
          <w:sz w:val="24"/>
          <w:szCs w:val="24"/>
          <w:lang w:val="fr-FR"/>
        </w:rPr>
        <w:t>Expérience générale :</w:t>
      </w:r>
      <w:r>
        <w:rPr>
          <w:rFonts w:ascii="Garamond" w:hAnsi="Garamond" w:cstheme="majorBidi"/>
          <w:b/>
          <w:bCs/>
          <w:color w:val="1F4E79" w:themeColor="accent1" w:themeShade="80"/>
          <w:sz w:val="24"/>
          <w:szCs w:val="24"/>
          <w:lang w:val="fr-FR"/>
        </w:rPr>
        <w:t xml:space="preserve"> </w:t>
      </w:r>
      <w:r>
        <w:rPr>
          <w:rFonts w:ascii="Garamond" w:hAnsi="Garamond" w:cstheme="majorBidi"/>
          <w:color w:val="000000" w:themeColor="text1"/>
          <w:sz w:val="24"/>
          <w:szCs w:val="24"/>
          <w:lang w:val="fr-FR"/>
        </w:rPr>
        <w:t>7 ans d’expérience dans la mise en œuvre de politiques de gouvernance environnementale, en particulier en lien avec le Protocole de Nagoya.</w:t>
      </w:r>
    </w:p>
    <w:p w:rsidR="003B5EBC" w:rsidRDefault="003B5EBC">
      <w:pPr>
        <w:spacing w:before="120" w:after="120" w:line="288" w:lineRule="auto"/>
        <w:jc w:val="both"/>
        <w:rPr>
          <w:rFonts w:ascii="Garamond" w:hAnsi="Garamond" w:cstheme="majorHAnsi"/>
          <w:b/>
          <w:bCs/>
          <w:sz w:val="24"/>
          <w:szCs w:val="24"/>
        </w:rPr>
      </w:pPr>
    </w:p>
    <w:p w:rsidR="003B5EBC" w:rsidRDefault="00A1518B">
      <w:pPr>
        <w:spacing w:before="120" w:after="120" w:line="288" w:lineRule="auto"/>
        <w:ind w:left="426"/>
        <w:jc w:val="both"/>
        <w:rPr>
          <w:rFonts w:ascii="Garamond" w:hAnsi="Garamond" w:cstheme="majorBidi"/>
          <w:b/>
          <w:bCs/>
          <w:color w:val="1F4E79" w:themeColor="accent1" w:themeShade="80"/>
          <w:sz w:val="26"/>
          <w:szCs w:val="26"/>
          <w:u w:val="single"/>
          <w:lang w:val="fr-FR"/>
        </w:rPr>
      </w:pPr>
      <w:r>
        <w:rPr>
          <w:rFonts w:ascii="Garamond" w:hAnsi="Garamond" w:cstheme="majorBidi"/>
          <w:b/>
          <w:bCs/>
          <w:color w:val="1F4E79" w:themeColor="accent1" w:themeShade="80"/>
          <w:sz w:val="26"/>
          <w:szCs w:val="26"/>
        </w:rPr>
        <w:t>2.3 Consultant en politique publique spécialisé dans les réformes administratives et la numérisation des processus gouvernementaux</w:t>
      </w:r>
    </w:p>
    <w:p w:rsidR="003B5EBC" w:rsidRDefault="00A1518B">
      <w:pPr>
        <w:spacing w:after="120" w:line="288" w:lineRule="auto"/>
        <w:ind w:left="284"/>
        <w:jc w:val="both"/>
        <w:rPr>
          <w:rFonts w:ascii="Garamond" w:hAnsi="Garamond" w:cstheme="majorBidi"/>
          <w:b/>
          <w:bCs/>
          <w:sz w:val="24"/>
          <w:szCs w:val="24"/>
          <w:lang w:val="fr-FR"/>
        </w:rPr>
      </w:pPr>
      <w:r>
        <w:rPr>
          <w:rFonts w:ascii="Garamond" w:hAnsi="Garamond" w:cstheme="majorBidi"/>
          <w:color w:val="1F4E79" w:themeColor="accent1" w:themeShade="80"/>
          <w:sz w:val="24"/>
          <w:szCs w:val="24"/>
          <w:lang w:val="fr-FR"/>
        </w:rPr>
        <w:t>Rôle dans la prestation :</w:t>
      </w:r>
      <w:r>
        <w:rPr>
          <w:rFonts w:ascii="Garamond" w:hAnsi="Garamond" w:cstheme="majorBidi"/>
          <w:b/>
          <w:bCs/>
          <w:color w:val="1F4E79" w:themeColor="accent1" w:themeShade="80"/>
          <w:sz w:val="24"/>
          <w:szCs w:val="24"/>
          <w:lang w:val="fr-FR"/>
        </w:rPr>
        <w:t xml:space="preserve"> </w:t>
      </w:r>
      <w:r>
        <w:rPr>
          <w:rFonts w:ascii="Garamond" w:hAnsi="Garamond" w:cstheme="majorBidi"/>
          <w:color w:val="000000" w:themeColor="text1"/>
          <w:sz w:val="24"/>
          <w:szCs w:val="24"/>
          <w:lang w:val="fr-FR"/>
        </w:rPr>
        <w:t>Le consultant en politique publique aura pour rôle d’appuyer l’analyse des procédures administratives existantes et leur transformation en processus dématérialisés, harmonisés et adaptés à un guichet unique électronique. Il contribuera à la définition des mécanismes de coordination interinstitutionnelle, à l’alignement du système avec les orientations nationales en matière de transformation numérique et à l’amélioration de la qualité des services rendus aux usagers.</w:t>
      </w:r>
    </w:p>
    <w:p w:rsidR="003B5EBC" w:rsidRPr="00160BAC" w:rsidRDefault="00A1518B">
      <w:pPr>
        <w:spacing w:after="120" w:line="288" w:lineRule="auto"/>
        <w:ind w:left="284"/>
        <w:jc w:val="both"/>
        <w:rPr>
          <w:rFonts w:ascii="Garamond" w:hAnsi="Garamond" w:cstheme="majorBidi"/>
          <w:b/>
          <w:bCs/>
          <w:sz w:val="24"/>
          <w:szCs w:val="24"/>
          <w:lang w:val="fr-FR"/>
        </w:rPr>
      </w:pPr>
      <w:r w:rsidRPr="00160BAC">
        <w:rPr>
          <w:rFonts w:ascii="Garamond" w:hAnsi="Garamond" w:cstheme="majorBidi"/>
          <w:color w:val="1F4E79" w:themeColor="accent1" w:themeShade="80"/>
          <w:sz w:val="24"/>
          <w:szCs w:val="24"/>
          <w:lang w:val="fr-FR"/>
        </w:rPr>
        <w:t>Livrables couverts :</w:t>
      </w:r>
      <w:r w:rsidRPr="00160BAC">
        <w:rPr>
          <w:rFonts w:ascii="Garamond" w:hAnsi="Garamond" w:cstheme="majorBidi"/>
          <w:b/>
          <w:bCs/>
          <w:color w:val="1F4E79" w:themeColor="accent1" w:themeShade="80"/>
          <w:sz w:val="24"/>
          <w:szCs w:val="24"/>
          <w:lang w:val="fr-FR"/>
        </w:rPr>
        <w:t xml:space="preserve"> </w:t>
      </w:r>
      <w:r>
        <w:rPr>
          <w:rFonts w:ascii="Garamond" w:hAnsi="Garamond" w:cstheme="majorBidi"/>
          <w:sz w:val="24"/>
          <w:szCs w:val="24"/>
        </w:rPr>
        <w:t xml:space="preserve">Ce profil contribuera principalement aux livrables suivants « L1.2 — Rapport de cartographie des procédures et de gouvernance institutionnelle ; L1.3 — Rapport de benchmark et recommandations ; L2.1 — Cahier des charges fonctionnel et technique ; L2.2 — Architecture fonctionnelle et technique </w:t>
      </w:r>
      <w:r w:rsidR="00C00FCA">
        <w:rPr>
          <w:rFonts w:ascii="Garamond" w:hAnsi="Garamond" w:cstheme="majorBidi"/>
          <w:sz w:val="24"/>
          <w:szCs w:val="24"/>
        </w:rPr>
        <w:t>détaillée ;</w:t>
      </w:r>
      <w:r>
        <w:rPr>
          <w:rFonts w:ascii="Garamond" w:hAnsi="Garamond" w:cstheme="majorBidi"/>
          <w:sz w:val="24"/>
          <w:szCs w:val="24"/>
        </w:rPr>
        <w:t xml:space="preserve"> L3.3 — Manuels, documentation technique, formation et transfert de compétences ; LF — Rapport final d’évaluation de la prestation ».</w:t>
      </w:r>
    </w:p>
    <w:p w:rsidR="003B5EBC" w:rsidRDefault="00A1518B">
      <w:pPr>
        <w:spacing w:after="120" w:line="288" w:lineRule="auto"/>
        <w:ind w:left="284"/>
        <w:jc w:val="both"/>
        <w:rPr>
          <w:rFonts w:ascii="Garamond" w:hAnsi="Garamond" w:cstheme="majorBidi"/>
          <w:b/>
          <w:bCs/>
          <w:sz w:val="24"/>
          <w:szCs w:val="24"/>
          <w:lang w:val="fr-FR"/>
        </w:rPr>
      </w:pPr>
      <w:r>
        <w:rPr>
          <w:rFonts w:ascii="Garamond" w:hAnsi="Garamond" w:cstheme="majorBidi"/>
          <w:color w:val="1F4E79" w:themeColor="accent1" w:themeShade="80"/>
          <w:sz w:val="24"/>
          <w:szCs w:val="24"/>
          <w:lang w:val="fr-FR"/>
        </w:rPr>
        <w:t>Qualifications académiques :</w:t>
      </w:r>
      <w:r>
        <w:rPr>
          <w:rFonts w:ascii="Garamond" w:hAnsi="Garamond" w:cstheme="majorBidi"/>
          <w:b/>
          <w:bCs/>
          <w:color w:val="1F4E79" w:themeColor="accent1" w:themeShade="80"/>
          <w:sz w:val="24"/>
          <w:szCs w:val="24"/>
          <w:lang w:val="fr-FR"/>
        </w:rPr>
        <w:t xml:space="preserve"> </w:t>
      </w:r>
      <w:r>
        <w:rPr>
          <w:rFonts w:ascii="Garamond" w:hAnsi="Garamond" w:cstheme="majorBidi"/>
          <w:sz w:val="24"/>
          <w:szCs w:val="24"/>
        </w:rPr>
        <w:t>Diplôme avancé ou Master en politiques publiques, administration publique, sciences politiques, ou équivalent.</w:t>
      </w:r>
    </w:p>
    <w:p w:rsidR="003B5EBC" w:rsidRDefault="00A1518B">
      <w:pPr>
        <w:spacing w:after="120" w:line="288" w:lineRule="auto"/>
        <w:ind w:left="284"/>
        <w:jc w:val="both"/>
        <w:rPr>
          <w:rFonts w:ascii="Garamond" w:hAnsi="Garamond" w:cstheme="majorBidi"/>
          <w:sz w:val="24"/>
          <w:szCs w:val="24"/>
          <w:lang w:val="fr-FR"/>
        </w:rPr>
      </w:pPr>
      <w:r>
        <w:rPr>
          <w:rFonts w:ascii="Garamond" w:hAnsi="Garamond" w:cstheme="majorBidi"/>
          <w:color w:val="1F4E79" w:themeColor="accent1" w:themeShade="80"/>
          <w:sz w:val="24"/>
          <w:szCs w:val="24"/>
          <w:lang w:val="fr-FR"/>
        </w:rPr>
        <w:t>Expérience générale :</w:t>
      </w:r>
      <w:r>
        <w:rPr>
          <w:rFonts w:ascii="Garamond" w:hAnsi="Garamond" w:cstheme="majorBidi"/>
          <w:b/>
          <w:bCs/>
          <w:color w:val="1F4E79" w:themeColor="accent1" w:themeShade="80"/>
          <w:sz w:val="24"/>
          <w:szCs w:val="24"/>
          <w:lang w:val="fr-FR"/>
        </w:rPr>
        <w:t xml:space="preserve"> </w:t>
      </w:r>
      <w:r>
        <w:rPr>
          <w:rFonts w:ascii="Garamond" w:hAnsi="Garamond" w:cstheme="majorBidi"/>
          <w:color w:val="000000" w:themeColor="text1"/>
          <w:sz w:val="24"/>
          <w:szCs w:val="24"/>
        </w:rPr>
        <w:t>7 ans d’expérience dans la conception et la mise en œuvre de réformes administratives, incluant la dématérialisation des services publics.</w:t>
      </w:r>
    </w:p>
    <w:p w:rsidR="003B5EBC" w:rsidRDefault="00A1518B">
      <w:pPr>
        <w:pStyle w:val="Paragraphedeliste"/>
        <w:numPr>
          <w:ilvl w:val="0"/>
          <w:numId w:val="41"/>
        </w:numPr>
        <w:spacing w:before="120" w:after="120" w:line="288" w:lineRule="auto"/>
        <w:jc w:val="both"/>
        <w:rPr>
          <w:rFonts w:ascii="Garamond" w:hAnsi="Garamond" w:cstheme="majorBidi"/>
          <w:b/>
          <w:bCs/>
          <w:iCs/>
          <w:sz w:val="26"/>
          <w:szCs w:val="26"/>
        </w:rPr>
      </w:pPr>
      <w:r>
        <w:rPr>
          <w:rFonts w:ascii="Garamond" w:hAnsi="Garamond" w:cstheme="majorBidi"/>
          <w:b/>
          <w:bCs/>
          <w:iCs/>
          <w:sz w:val="26"/>
          <w:szCs w:val="26"/>
        </w:rPr>
        <w:t xml:space="preserve">Composition des réponses à la présente consultation </w:t>
      </w:r>
    </w:p>
    <w:p w:rsidR="003B5EBC" w:rsidRDefault="00A1518B">
      <w:pPr>
        <w:spacing w:after="0" w:line="360" w:lineRule="auto"/>
        <w:ind w:left="284"/>
        <w:jc w:val="both"/>
        <w:rPr>
          <w:rFonts w:ascii="Garamond" w:hAnsi="Garamond" w:cstheme="majorBidi"/>
          <w:sz w:val="24"/>
          <w:szCs w:val="24"/>
          <w:lang w:val="fr-FR"/>
        </w:rPr>
      </w:pPr>
      <w:r>
        <w:rPr>
          <w:rFonts w:ascii="Garamond" w:hAnsi="Garamond" w:cstheme="majorBidi"/>
          <w:sz w:val="24"/>
          <w:szCs w:val="24"/>
        </w:rPr>
        <w:t>Toute réponse doit être constituée des trois composantes suivantes :</w:t>
      </w:r>
    </w:p>
    <w:p w:rsidR="00C00FCA" w:rsidRDefault="00C00FCA" w:rsidP="00C00FCA">
      <w:pPr>
        <w:spacing w:after="0" w:line="360" w:lineRule="auto"/>
        <w:jc w:val="both"/>
        <w:rPr>
          <w:rFonts w:ascii="Garamond" w:hAnsi="Garamond" w:cstheme="majorBidi"/>
          <w:sz w:val="24"/>
          <w:szCs w:val="24"/>
          <w:lang w:val="fr-FR"/>
        </w:rPr>
      </w:pPr>
    </w:p>
    <w:p w:rsidR="00C00FCA" w:rsidRPr="00C00FCA" w:rsidRDefault="00C00FCA" w:rsidP="00C00FCA">
      <w:pPr>
        <w:spacing w:after="0" w:line="360" w:lineRule="auto"/>
        <w:jc w:val="both"/>
        <w:rPr>
          <w:rFonts w:ascii="Garamond" w:hAnsi="Garamond" w:cstheme="majorBidi"/>
          <w:sz w:val="24"/>
          <w:szCs w:val="24"/>
          <w:lang w:val="fr-FR"/>
        </w:rPr>
      </w:pPr>
    </w:p>
    <w:p w:rsidR="003B5EBC" w:rsidRDefault="00A1518B">
      <w:pPr>
        <w:numPr>
          <w:ilvl w:val="0"/>
          <w:numId w:val="43"/>
        </w:numPr>
        <w:spacing w:after="0" w:line="360" w:lineRule="auto"/>
        <w:ind w:left="709" w:hanging="283"/>
        <w:jc w:val="both"/>
        <w:rPr>
          <w:rFonts w:ascii="Garamond" w:hAnsi="Garamond" w:cstheme="majorBidi"/>
          <w:color w:val="1F4E79" w:themeColor="accent1" w:themeShade="80"/>
          <w:sz w:val="24"/>
          <w:szCs w:val="24"/>
        </w:rPr>
      </w:pPr>
      <w:r>
        <w:rPr>
          <w:rFonts w:ascii="Garamond" w:hAnsi="Garamond" w:cstheme="majorBidi"/>
          <w:color w:val="1F4E79" w:themeColor="accent1" w:themeShade="80"/>
          <w:sz w:val="24"/>
          <w:szCs w:val="24"/>
        </w:rPr>
        <w:lastRenderedPageBreak/>
        <w:t xml:space="preserve">Dossier administratif </w:t>
      </w:r>
    </w:p>
    <w:p w:rsidR="003B5EBC" w:rsidRDefault="00A1518B">
      <w:pPr>
        <w:numPr>
          <w:ilvl w:val="0"/>
          <w:numId w:val="43"/>
        </w:numPr>
        <w:spacing w:after="0" w:line="360" w:lineRule="auto"/>
        <w:ind w:left="709" w:hanging="283"/>
        <w:jc w:val="both"/>
        <w:rPr>
          <w:rFonts w:ascii="Garamond" w:hAnsi="Garamond" w:cstheme="majorBidi"/>
          <w:color w:val="1F4E79" w:themeColor="accent1" w:themeShade="80"/>
          <w:sz w:val="24"/>
          <w:szCs w:val="24"/>
        </w:rPr>
      </w:pPr>
      <w:r>
        <w:rPr>
          <w:rFonts w:ascii="Garamond" w:hAnsi="Garamond" w:cstheme="majorBidi"/>
          <w:color w:val="1F4E79" w:themeColor="accent1" w:themeShade="80"/>
          <w:sz w:val="24"/>
          <w:szCs w:val="24"/>
        </w:rPr>
        <w:t>Offre technique</w:t>
      </w:r>
    </w:p>
    <w:p w:rsidR="003B5EBC" w:rsidRDefault="00A1518B">
      <w:pPr>
        <w:numPr>
          <w:ilvl w:val="0"/>
          <w:numId w:val="43"/>
        </w:numPr>
        <w:spacing w:after="0" w:line="360" w:lineRule="auto"/>
        <w:ind w:left="709" w:hanging="283"/>
        <w:jc w:val="both"/>
        <w:rPr>
          <w:rFonts w:asciiTheme="majorBidi" w:hAnsiTheme="majorBidi" w:cstheme="majorBidi"/>
          <w:sz w:val="24"/>
          <w:szCs w:val="24"/>
        </w:rPr>
      </w:pPr>
      <w:r>
        <w:rPr>
          <w:rFonts w:ascii="Garamond" w:hAnsi="Garamond" w:cstheme="majorBidi"/>
          <w:color w:val="1F4E79" w:themeColor="accent1" w:themeShade="80"/>
          <w:sz w:val="24"/>
          <w:szCs w:val="24"/>
        </w:rPr>
        <w:t>Offre financière</w:t>
      </w:r>
    </w:p>
    <w:p w:rsidR="003B5EBC" w:rsidRDefault="003B5EBC">
      <w:pPr>
        <w:spacing w:after="0" w:line="360" w:lineRule="auto"/>
        <w:ind w:left="709"/>
        <w:jc w:val="both"/>
        <w:rPr>
          <w:rFonts w:asciiTheme="majorBidi" w:hAnsiTheme="majorBidi" w:cstheme="majorBidi"/>
          <w:sz w:val="24"/>
          <w:szCs w:val="24"/>
        </w:rPr>
      </w:pPr>
    </w:p>
    <w:p w:rsidR="003B5EBC" w:rsidRDefault="00A1518B">
      <w:pPr>
        <w:numPr>
          <w:ilvl w:val="0"/>
          <w:numId w:val="44"/>
        </w:numPr>
        <w:spacing w:after="0" w:line="360" w:lineRule="auto"/>
        <w:ind w:left="709" w:hanging="283"/>
        <w:jc w:val="both"/>
        <w:rPr>
          <w:rFonts w:ascii="Garamond" w:hAnsi="Garamond" w:cstheme="majorBidi"/>
          <w:sz w:val="24"/>
          <w:szCs w:val="24"/>
        </w:rPr>
      </w:pPr>
      <w:r>
        <w:rPr>
          <w:rFonts w:ascii="Garamond" w:hAnsi="Garamond" w:cstheme="majorBidi"/>
          <w:b/>
          <w:bCs/>
          <w:color w:val="1F4E79" w:themeColor="accent1" w:themeShade="80"/>
          <w:sz w:val="24"/>
          <w:szCs w:val="24"/>
        </w:rPr>
        <w:t>Dossier administratif :</w:t>
      </w:r>
    </w:p>
    <w:p w:rsidR="003B5EBC" w:rsidRDefault="00A1518B">
      <w:pPr>
        <w:pStyle w:val="Paragraphedeliste"/>
        <w:numPr>
          <w:ilvl w:val="0"/>
          <w:numId w:val="45"/>
        </w:numPr>
        <w:spacing w:before="120" w:after="120" w:line="240" w:lineRule="auto"/>
        <w:ind w:left="714" w:hanging="357"/>
        <w:contextualSpacing w:val="0"/>
        <w:jc w:val="both"/>
        <w:rPr>
          <w:rFonts w:ascii="Garamond" w:hAnsi="Garamond" w:cstheme="majorBidi"/>
          <w:sz w:val="24"/>
          <w:szCs w:val="24"/>
        </w:rPr>
      </w:pPr>
      <w:r>
        <w:rPr>
          <w:rFonts w:ascii="Garamond" w:hAnsi="Garamond" w:cstheme="majorBidi"/>
          <w:sz w:val="24"/>
          <w:szCs w:val="24"/>
        </w:rPr>
        <w:t>Lettre de soumission au Ministère de la Transition Energétique et du Développement Durable – Département du Développement Durable confirmant l’intérêt et la disponibilité du bureau d’études ;</w:t>
      </w:r>
    </w:p>
    <w:p w:rsidR="003B5EBC" w:rsidRDefault="00A1518B">
      <w:pPr>
        <w:pStyle w:val="Paragraphedeliste"/>
        <w:numPr>
          <w:ilvl w:val="0"/>
          <w:numId w:val="45"/>
        </w:numPr>
        <w:spacing w:before="120" w:after="120" w:line="240" w:lineRule="auto"/>
        <w:ind w:left="714" w:hanging="357"/>
        <w:contextualSpacing w:val="0"/>
        <w:jc w:val="both"/>
        <w:rPr>
          <w:rFonts w:ascii="Garamond" w:hAnsi="Garamond" w:cstheme="majorBidi"/>
          <w:sz w:val="24"/>
          <w:szCs w:val="24"/>
        </w:rPr>
      </w:pPr>
      <w:r>
        <w:rPr>
          <w:rFonts w:ascii="Garamond" w:hAnsi="Garamond" w:cstheme="majorBidi"/>
          <w:sz w:val="24"/>
          <w:szCs w:val="24"/>
        </w:rPr>
        <w:t>Une déclaration sur l’honneur (Cf. Annexe n°1).</w:t>
      </w:r>
    </w:p>
    <w:p w:rsidR="003B5EBC" w:rsidRDefault="00A1518B">
      <w:pPr>
        <w:pStyle w:val="Paragraphedeliste"/>
        <w:numPr>
          <w:ilvl w:val="0"/>
          <w:numId w:val="45"/>
        </w:numPr>
        <w:spacing w:before="120" w:after="120" w:line="240" w:lineRule="auto"/>
        <w:ind w:left="714" w:hanging="357"/>
        <w:contextualSpacing w:val="0"/>
        <w:jc w:val="both"/>
        <w:rPr>
          <w:rFonts w:ascii="Garamond" w:hAnsi="Garamond" w:cstheme="majorBidi"/>
          <w:sz w:val="24"/>
          <w:szCs w:val="24"/>
        </w:rPr>
      </w:pPr>
      <w:r>
        <w:rPr>
          <w:rFonts w:ascii="Garamond" w:hAnsi="Garamond" w:cstheme="majorBidi"/>
          <w:sz w:val="24"/>
          <w:szCs w:val="24"/>
        </w:rPr>
        <w:t>Les présents Termes de références paraphés sur toutes les pages et signés à la dernière page avec la mention manuscrite "lu et accepté".</w:t>
      </w:r>
    </w:p>
    <w:p w:rsidR="003B5EBC" w:rsidRDefault="003B5EBC">
      <w:pPr>
        <w:pStyle w:val="Paragraphedeliste"/>
        <w:tabs>
          <w:tab w:val="left" w:pos="720"/>
        </w:tabs>
        <w:spacing w:before="120" w:after="120" w:line="240" w:lineRule="auto"/>
        <w:ind w:left="714"/>
        <w:contextualSpacing w:val="0"/>
        <w:jc w:val="both"/>
        <w:rPr>
          <w:rFonts w:ascii="Garamond" w:hAnsi="Garamond" w:cstheme="majorBidi"/>
          <w:sz w:val="24"/>
          <w:szCs w:val="24"/>
        </w:rPr>
      </w:pPr>
    </w:p>
    <w:p w:rsidR="003B5EBC" w:rsidRDefault="00A1518B">
      <w:pPr>
        <w:pStyle w:val="Paragraphedeliste"/>
        <w:numPr>
          <w:ilvl w:val="0"/>
          <w:numId w:val="44"/>
        </w:numPr>
        <w:spacing w:before="120" w:after="120" w:line="276" w:lineRule="auto"/>
        <w:ind w:left="709" w:hanging="283"/>
        <w:contextualSpacing w:val="0"/>
        <w:jc w:val="both"/>
        <w:rPr>
          <w:rFonts w:ascii="Garamond" w:hAnsi="Garamond" w:cs="Times New Roman"/>
          <w:b/>
          <w:bCs/>
          <w:color w:val="1F4E79" w:themeColor="accent1" w:themeShade="80"/>
          <w:sz w:val="24"/>
          <w:szCs w:val="24"/>
        </w:rPr>
      </w:pPr>
      <w:r>
        <w:rPr>
          <w:rFonts w:ascii="Garamond" w:hAnsi="Garamond" w:cs="Times New Roman"/>
          <w:b/>
          <w:bCs/>
          <w:color w:val="1F4E79" w:themeColor="accent1" w:themeShade="80"/>
          <w:sz w:val="24"/>
          <w:szCs w:val="24"/>
        </w:rPr>
        <w:t>Offre technique :</w:t>
      </w:r>
    </w:p>
    <w:p w:rsidR="003B5EBC" w:rsidRDefault="00A1518B">
      <w:pPr>
        <w:pStyle w:val="Paragraphedeliste"/>
        <w:numPr>
          <w:ilvl w:val="0"/>
          <w:numId w:val="46"/>
        </w:numPr>
        <w:spacing w:before="120" w:after="120" w:line="276" w:lineRule="auto"/>
        <w:ind w:left="714" w:hanging="357"/>
        <w:contextualSpacing w:val="0"/>
        <w:jc w:val="both"/>
        <w:rPr>
          <w:rFonts w:ascii="Garamond" w:hAnsi="Garamond" w:cstheme="majorBidi"/>
          <w:sz w:val="24"/>
          <w:szCs w:val="24"/>
        </w:rPr>
      </w:pPr>
      <w:r>
        <w:rPr>
          <w:rFonts w:ascii="Garamond" w:hAnsi="Garamond" w:cstheme="majorBidi"/>
          <w:sz w:val="24"/>
          <w:szCs w:val="24"/>
        </w:rPr>
        <w:t>Fournir une note méthodologique et un chronogramme indiquant la manière dont l’équipe du projet approchera et effectuera le travail ;</w:t>
      </w:r>
    </w:p>
    <w:p w:rsidR="003B5EBC" w:rsidRDefault="00A1518B">
      <w:pPr>
        <w:pStyle w:val="Paragraphedeliste"/>
        <w:numPr>
          <w:ilvl w:val="0"/>
          <w:numId w:val="46"/>
        </w:numPr>
        <w:spacing w:before="120" w:after="120" w:line="276" w:lineRule="auto"/>
        <w:ind w:left="714" w:hanging="357"/>
        <w:contextualSpacing w:val="0"/>
        <w:jc w:val="both"/>
        <w:rPr>
          <w:rFonts w:ascii="Garamond" w:hAnsi="Garamond" w:cstheme="majorBidi"/>
          <w:sz w:val="24"/>
          <w:szCs w:val="24"/>
        </w:rPr>
      </w:pPr>
      <w:r>
        <w:rPr>
          <w:rFonts w:ascii="Garamond" w:hAnsi="Garamond" w:cstheme="majorBidi"/>
          <w:sz w:val="24"/>
          <w:szCs w:val="24"/>
        </w:rPr>
        <w:t xml:space="preserve">Le CV professionnel permettant clairement de présenter le profils l’expert(e), sa formation académique, sa qualification professionnelle, son expérience acquise dans les domaines de spécialités demandés conformément aux termes de référence. </w:t>
      </w:r>
    </w:p>
    <w:p w:rsidR="003B5EBC" w:rsidRDefault="00A1518B">
      <w:pPr>
        <w:tabs>
          <w:tab w:val="left" w:pos="720"/>
        </w:tabs>
        <w:spacing w:before="120" w:after="120" w:line="276" w:lineRule="auto"/>
        <w:ind w:left="357"/>
        <w:jc w:val="both"/>
        <w:rPr>
          <w:rFonts w:ascii="Garamond" w:hAnsi="Garamond" w:cstheme="majorBidi"/>
          <w:color w:val="1F4E79" w:themeColor="accent1" w:themeShade="80"/>
          <w:sz w:val="24"/>
          <w:szCs w:val="24"/>
        </w:rPr>
      </w:pPr>
      <w:r>
        <w:rPr>
          <w:rFonts w:ascii="Garamond" w:hAnsi="Garamond" w:cstheme="majorBidi"/>
          <w:color w:val="1F4E79" w:themeColor="accent1" w:themeShade="80"/>
          <w:sz w:val="24"/>
          <w:szCs w:val="24"/>
        </w:rPr>
        <w:t>Le CV doit être accompagné par des copies des diplômes et inclure des références professionnelles datées justifiant l’expérience et les expertises requises.</w:t>
      </w:r>
    </w:p>
    <w:p w:rsidR="003B5EBC" w:rsidRDefault="00A1518B">
      <w:pPr>
        <w:pStyle w:val="Paragraphedeliste"/>
        <w:numPr>
          <w:ilvl w:val="0"/>
          <w:numId w:val="44"/>
        </w:numPr>
        <w:spacing w:line="276" w:lineRule="auto"/>
        <w:ind w:left="709" w:hanging="283"/>
        <w:jc w:val="both"/>
        <w:rPr>
          <w:rFonts w:ascii="Garamond" w:hAnsi="Garamond" w:cstheme="majorBidi"/>
          <w:color w:val="1F4E79" w:themeColor="accent1" w:themeShade="80"/>
          <w:sz w:val="24"/>
          <w:szCs w:val="24"/>
        </w:rPr>
      </w:pPr>
      <w:r>
        <w:rPr>
          <w:rFonts w:ascii="Garamond" w:hAnsi="Garamond" w:cstheme="majorBidi"/>
          <w:b/>
          <w:bCs/>
          <w:color w:val="1F4E79" w:themeColor="accent1" w:themeShade="80"/>
          <w:sz w:val="24"/>
          <w:szCs w:val="24"/>
        </w:rPr>
        <w:t>Offre financière</w:t>
      </w:r>
    </w:p>
    <w:p w:rsidR="003B5EBC" w:rsidRDefault="00A1518B">
      <w:pPr>
        <w:ind w:left="284"/>
        <w:jc w:val="both"/>
        <w:rPr>
          <w:rFonts w:ascii="Garamond" w:hAnsi="Garamond" w:cstheme="majorBidi"/>
          <w:sz w:val="24"/>
          <w:szCs w:val="24"/>
        </w:rPr>
      </w:pPr>
      <w:r>
        <w:rPr>
          <w:rFonts w:ascii="Garamond" w:hAnsi="Garamond" w:cstheme="majorBidi"/>
          <w:sz w:val="24"/>
          <w:szCs w:val="24"/>
        </w:rPr>
        <w:t>Une offre financière détaillée spécifiant le nombre d’H/J par mission. L’offre financière doit être datée et signée. Les prix rémunèrent toutes les sujétions dues à étude telle que définie dans la présente consultation et à la mobilisation des experts.</w:t>
      </w:r>
    </w:p>
    <w:p w:rsidR="003B5EBC" w:rsidRDefault="00A1518B">
      <w:pPr>
        <w:ind w:left="284"/>
        <w:jc w:val="both"/>
        <w:rPr>
          <w:rFonts w:ascii="Garamond" w:hAnsi="Garamond" w:cstheme="majorBidi"/>
          <w:sz w:val="24"/>
          <w:szCs w:val="24"/>
        </w:rPr>
      </w:pPr>
      <w:r>
        <w:rPr>
          <w:rFonts w:ascii="Garamond" w:hAnsi="Garamond" w:cstheme="majorBidi"/>
          <w:sz w:val="24"/>
          <w:szCs w:val="24"/>
        </w:rPr>
        <w:t>Le prestataire est sollicité de remettre un bordereau des prix (modèle ci-dessous) signé, cacheté et daté ;</w:t>
      </w:r>
    </w:p>
    <w:p w:rsidR="003B5EBC" w:rsidRDefault="00A1518B">
      <w:pPr>
        <w:ind w:left="284"/>
        <w:jc w:val="both"/>
        <w:rPr>
          <w:rFonts w:ascii="Garamond" w:hAnsi="Garamond" w:cstheme="majorBidi"/>
          <w:sz w:val="24"/>
          <w:szCs w:val="24"/>
        </w:rPr>
      </w:pPr>
      <w:r>
        <w:rPr>
          <w:rFonts w:ascii="Garamond" w:hAnsi="Garamond" w:cstheme="majorBidi"/>
          <w:sz w:val="24"/>
          <w:szCs w:val="24"/>
        </w:rPr>
        <w:t xml:space="preserve">Le prestataire doit également renseigner l’acte d’engagement (Cf. Annexe n°2). </w:t>
      </w:r>
    </w:p>
    <w:p w:rsidR="003B5EBC" w:rsidRDefault="00A1518B">
      <w:pPr>
        <w:ind w:left="284"/>
        <w:jc w:val="both"/>
        <w:rPr>
          <w:rFonts w:ascii="Garamond" w:hAnsi="Garamond" w:cstheme="majorBidi"/>
          <w:sz w:val="24"/>
          <w:szCs w:val="24"/>
        </w:rPr>
      </w:pPr>
      <w:r>
        <w:rPr>
          <w:rFonts w:ascii="Garamond" w:hAnsi="Garamond" w:cstheme="majorBidi"/>
          <w:sz w:val="24"/>
          <w:szCs w:val="24"/>
        </w:rPr>
        <w:t>L’offre financière est remise dans un pli séparé fermé, cacheté et portant la mention « offre financière ». (En cas de soumission physique).</w:t>
      </w:r>
      <w:r>
        <w:rPr>
          <w:rFonts w:asciiTheme="majorBidi" w:hAnsiTheme="majorBidi" w:cstheme="majorBidi"/>
        </w:rPr>
        <w:br w:type="page"/>
      </w:r>
    </w:p>
    <w:tbl>
      <w:tblPr>
        <w:tblStyle w:val="Grilledutableau"/>
        <w:tblW w:w="10391" w:type="dxa"/>
        <w:jc w:val="center"/>
        <w:tblLook w:val="04A0" w:firstRow="1" w:lastRow="0" w:firstColumn="1" w:lastColumn="0" w:noHBand="0" w:noVBand="1"/>
      </w:tblPr>
      <w:tblGrid>
        <w:gridCol w:w="7314"/>
        <w:gridCol w:w="854"/>
        <w:gridCol w:w="1183"/>
        <w:gridCol w:w="1040"/>
      </w:tblGrid>
      <w:tr w:rsidR="003B5EBC">
        <w:trPr>
          <w:trHeight w:val="176"/>
          <w:jc w:val="center"/>
        </w:trPr>
        <w:tc>
          <w:tcPr>
            <w:tcW w:w="0" w:type="auto"/>
            <w:vMerge w:val="restart"/>
            <w:shd w:val="clear" w:color="auto" w:fill="D5DCE4" w:themeFill="text2" w:themeFillTint="33"/>
            <w:vAlign w:val="center"/>
          </w:tcPr>
          <w:p w:rsidR="003B5EBC" w:rsidRDefault="00A1518B">
            <w:pPr>
              <w:jc w:val="center"/>
              <w:rPr>
                <w:rFonts w:ascii="Garamond" w:eastAsia="Times New Roman" w:hAnsi="Garamond" w:cs="Times New Roman"/>
                <w:b/>
                <w:bCs/>
                <w:sz w:val="24"/>
                <w:szCs w:val="24"/>
                <w:lang w:eastAsia="fr-FR"/>
              </w:rPr>
            </w:pPr>
            <w:r>
              <w:rPr>
                <w:rFonts w:ascii="Garamond" w:eastAsia="Times New Roman" w:hAnsi="Garamond" w:cs="Times New Roman"/>
                <w:b/>
                <w:bCs/>
                <w:sz w:val="24"/>
                <w:szCs w:val="24"/>
                <w:lang w:eastAsia="fr-FR"/>
              </w:rPr>
              <w:lastRenderedPageBreak/>
              <w:t>Désignation des prestations</w:t>
            </w:r>
          </w:p>
        </w:tc>
        <w:tc>
          <w:tcPr>
            <w:tcW w:w="0" w:type="auto"/>
            <w:vMerge w:val="restart"/>
            <w:shd w:val="clear" w:color="auto" w:fill="D5DCE4" w:themeFill="text2" w:themeFillTint="33"/>
            <w:vAlign w:val="center"/>
          </w:tcPr>
          <w:p w:rsidR="003B5EBC" w:rsidRDefault="00A1518B">
            <w:pPr>
              <w:jc w:val="center"/>
              <w:rPr>
                <w:rFonts w:ascii="Garamond" w:eastAsia="Times New Roman" w:hAnsi="Garamond" w:cs="Times New Roman"/>
                <w:b/>
                <w:bCs/>
                <w:sz w:val="24"/>
                <w:szCs w:val="24"/>
                <w:lang w:eastAsia="fr-FR"/>
              </w:rPr>
            </w:pPr>
            <w:r>
              <w:rPr>
                <w:rFonts w:ascii="Garamond" w:eastAsia="Times New Roman" w:hAnsi="Garamond" w:cs="Times New Roman"/>
                <w:b/>
                <w:bCs/>
                <w:sz w:val="24"/>
                <w:szCs w:val="24"/>
                <w:lang w:eastAsia="fr-FR"/>
              </w:rPr>
              <w:t>Unité</w:t>
            </w:r>
          </w:p>
        </w:tc>
        <w:tc>
          <w:tcPr>
            <w:tcW w:w="2223" w:type="dxa"/>
            <w:gridSpan w:val="2"/>
            <w:shd w:val="clear" w:color="auto" w:fill="D5DCE4" w:themeFill="text2" w:themeFillTint="33"/>
          </w:tcPr>
          <w:p w:rsidR="003B5EBC" w:rsidRDefault="00A1518B">
            <w:pPr>
              <w:jc w:val="center"/>
              <w:rPr>
                <w:rFonts w:ascii="Garamond" w:eastAsia="Times New Roman" w:hAnsi="Garamond" w:cs="Times New Roman"/>
                <w:b/>
                <w:bCs/>
                <w:sz w:val="24"/>
                <w:szCs w:val="24"/>
                <w:lang w:eastAsia="fr-FR"/>
              </w:rPr>
            </w:pPr>
            <w:r>
              <w:rPr>
                <w:rFonts w:ascii="Garamond" w:eastAsia="Times New Roman" w:hAnsi="Garamond" w:cs="Times New Roman"/>
                <w:b/>
                <w:bCs/>
                <w:sz w:val="24"/>
                <w:szCs w:val="24"/>
                <w:lang w:eastAsia="fr-FR"/>
              </w:rPr>
              <w:t>Prix unitaire HT</w:t>
            </w:r>
          </w:p>
        </w:tc>
      </w:tr>
      <w:tr w:rsidR="003B5EBC">
        <w:trPr>
          <w:trHeight w:val="50"/>
          <w:jc w:val="center"/>
        </w:trPr>
        <w:tc>
          <w:tcPr>
            <w:tcW w:w="0" w:type="auto"/>
            <w:vMerge/>
          </w:tcPr>
          <w:p w:rsidR="003B5EBC" w:rsidRDefault="003B5EBC">
            <w:pPr>
              <w:spacing w:after="0"/>
              <w:jc w:val="both"/>
              <w:rPr>
                <w:rFonts w:ascii="Garamond" w:eastAsia="Times New Roman" w:hAnsi="Garamond" w:cs="Times New Roman"/>
                <w:sz w:val="24"/>
                <w:szCs w:val="24"/>
                <w:lang w:eastAsia="fr-FR"/>
              </w:rPr>
            </w:pPr>
          </w:p>
        </w:tc>
        <w:tc>
          <w:tcPr>
            <w:tcW w:w="0" w:type="auto"/>
            <w:vMerge/>
          </w:tcPr>
          <w:p w:rsidR="003B5EBC" w:rsidRDefault="003B5EBC">
            <w:pPr>
              <w:spacing w:after="0"/>
              <w:rPr>
                <w:rFonts w:ascii="Garamond" w:eastAsia="Times New Roman" w:hAnsi="Garamond" w:cs="Times New Roman"/>
                <w:sz w:val="24"/>
                <w:szCs w:val="24"/>
                <w:lang w:eastAsia="fr-FR"/>
              </w:rPr>
            </w:pPr>
          </w:p>
        </w:tc>
        <w:tc>
          <w:tcPr>
            <w:tcW w:w="1183" w:type="dxa"/>
            <w:vAlign w:val="center"/>
          </w:tcPr>
          <w:p w:rsidR="003B5EBC" w:rsidRDefault="00A1518B">
            <w:pPr>
              <w:spacing w:after="0"/>
              <w:jc w:val="center"/>
              <w:rPr>
                <w:rFonts w:ascii="Garamond" w:eastAsia="Times New Roman" w:hAnsi="Garamond" w:cs="Times New Roman"/>
                <w:sz w:val="24"/>
                <w:szCs w:val="24"/>
                <w:lang w:eastAsia="fr-FR"/>
              </w:rPr>
            </w:pPr>
            <w:r>
              <w:rPr>
                <w:rFonts w:ascii="Garamond" w:eastAsia="Times New Roman" w:hAnsi="Garamond" w:cs="Times New Roman"/>
                <w:sz w:val="24"/>
                <w:szCs w:val="24"/>
                <w:lang w:eastAsia="fr-FR"/>
              </w:rPr>
              <w:t>En chiffre</w:t>
            </w:r>
          </w:p>
        </w:tc>
        <w:tc>
          <w:tcPr>
            <w:tcW w:w="1040" w:type="dxa"/>
            <w:vAlign w:val="center"/>
          </w:tcPr>
          <w:p w:rsidR="003B5EBC" w:rsidRDefault="00A1518B">
            <w:pPr>
              <w:spacing w:after="0"/>
              <w:jc w:val="center"/>
              <w:rPr>
                <w:rFonts w:ascii="Garamond" w:eastAsia="Times New Roman" w:hAnsi="Garamond" w:cs="Times New Roman"/>
                <w:sz w:val="24"/>
                <w:szCs w:val="24"/>
                <w:lang w:eastAsia="fr-FR"/>
              </w:rPr>
            </w:pPr>
            <w:r>
              <w:rPr>
                <w:rFonts w:ascii="Garamond" w:eastAsia="Times New Roman" w:hAnsi="Garamond" w:cs="Times New Roman"/>
                <w:sz w:val="24"/>
                <w:szCs w:val="24"/>
                <w:lang w:eastAsia="fr-FR"/>
              </w:rPr>
              <w:t>En lettre</w:t>
            </w:r>
          </w:p>
        </w:tc>
      </w:tr>
      <w:tr w:rsidR="003B5EBC">
        <w:trPr>
          <w:trHeight w:val="478"/>
          <w:jc w:val="center"/>
        </w:trPr>
        <w:tc>
          <w:tcPr>
            <w:tcW w:w="10391" w:type="dxa"/>
            <w:gridSpan w:val="4"/>
            <w:shd w:val="clear" w:color="auto" w:fill="E7E6E6" w:themeFill="background2"/>
            <w:vAlign w:val="center"/>
          </w:tcPr>
          <w:p w:rsidR="003B5EBC" w:rsidRDefault="00A1518B">
            <w:pPr>
              <w:pStyle w:val="paragraph"/>
              <w:spacing w:after="0"/>
              <w:textAlignment w:val="baseline"/>
              <w:rPr>
                <w:rFonts w:ascii="Garamond" w:hAnsi="Garamond" w:cstheme="majorBidi"/>
                <w:b/>
                <w:bCs/>
                <w:lang w:val="zh-CN"/>
              </w:rPr>
            </w:pPr>
            <w:r>
              <w:rPr>
                <w:rFonts w:ascii="Garamond" w:hAnsi="Garamond" w:cstheme="majorBidi"/>
                <w:b/>
                <w:bCs/>
                <w:lang w:val="zh-CN"/>
              </w:rPr>
              <w:t>Livrable 0 transversal — Cadrage méthodologique</w:t>
            </w:r>
          </w:p>
        </w:tc>
      </w:tr>
      <w:tr w:rsidR="003B5EBC">
        <w:trPr>
          <w:trHeight w:val="50"/>
          <w:jc w:val="center"/>
        </w:trPr>
        <w:tc>
          <w:tcPr>
            <w:tcW w:w="0" w:type="auto"/>
            <w:vAlign w:val="center"/>
          </w:tcPr>
          <w:p w:rsidR="003B5EBC" w:rsidRDefault="00A1518B">
            <w:pPr>
              <w:rPr>
                <w:rFonts w:ascii="Garamond" w:eastAsia="Times New Roman" w:hAnsi="Garamond" w:cstheme="majorBidi"/>
                <w:sz w:val="24"/>
                <w:szCs w:val="24"/>
                <w:lang w:eastAsia="fr-FR"/>
              </w:rPr>
            </w:pPr>
            <w:r>
              <w:rPr>
                <w:rFonts w:ascii="Garamond" w:eastAsia="Times New Roman" w:hAnsi="Garamond" w:cstheme="majorBidi"/>
                <w:sz w:val="24"/>
                <w:szCs w:val="24"/>
                <w:lang w:eastAsia="fr-FR"/>
              </w:rPr>
              <w:t>L0 — Rapport de démarrage / méthodologie de travail</w:t>
            </w:r>
            <w:r>
              <w:rPr>
                <w:rFonts w:ascii="Garamond" w:eastAsia="Times New Roman" w:hAnsi="Garamond" w:cstheme="majorBidi"/>
                <w:sz w:val="24"/>
                <w:szCs w:val="24"/>
                <w:lang w:val="fr-FR" w:eastAsia="fr-FR"/>
              </w:rPr>
              <w:t xml:space="preserve"> </w:t>
            </w:r>
          </w:p>
        </w:tc>
        <w:tc>
          <w:tcPr>
            <w:tcW w:w="0" w:type="auto"/>
          </w:tcPr>
          <w:p w:rsidR="003B5EBC" w:rsidRDefault="00A1518B">
            <w:pPr>
              <w:rPr>
                <w:rFonts w:ascii="Garamond" w:eastAsia="Times New Roman" w:hAnsi="Garamond" w:cs="Times New Roman"/>
                <w:sz w:val="24"/>
                <w:szCs w:val="24"/>
                <w:lang w:eastAsia="fr-FR"/>
              </w:rPr>
            </w:pPr>
            <w:r>
              <w:rPr>
                <w:rFonts w:ascii="Garamond" w:eastAsia="Times New Roman" w:hAnsi="Garamond" w:cs="Times New Roman"/>
                <w:sz w:val="24"/>
                <w:szCs w:val="24"/>
                <w:lang w:eastAsia="fr-FR"/>
              </w:rPr>
              <w:t>Forfait</w:t>
            </w:r>
          </w:p>
        </w:tc>
        <w:tc>
          <w:tcPr>
            <w:tcW w:w="1183" w:type="dxa"/>
          </w:tcPr>
          <w:p w:rsidR="003B5EBC" w:rsidRDefault="003B5EBC">
            <w:pPr>
              <w:rPr>
                <w:rFonts w:ascii="Garamond" w:eastAsia="Times New Roman" w:hAnsi="Garamond" w:cs="Times New Roman"/>
                <w:sz w:val="24"/>
                <w:szCs w:val="24"/>
                <w:lang w:eastAsia="fr-FR"/>
              </w:rPr>
            </w:pPr>
          </w:p>
        </w:tc>
        <w:tc>
          <w:tcPr>
            <w:tcW w:w="1040" w:type="dxa"/>
          </w:tcPr>
          <w:p w:rsidR="003B5EBC" w:rsidRDefault="003B5EBC">
            <w:pPr>
              <w:rPr>
                <w:rFonts w:ascii="Garamond" w:eastAsia="Times New Roman" w:hAnsi="Garamond" w:cs="Times New Roman"/>
                <w:sz w:val="24"/>
                <w:szCs w:val="24"/>
                <w:highlight w:val="green"/>
                <w:lang w:eastAsia="fr-FR"/>
              </w:rPr>
            </w:pPr>
          </w:p>
        </w:tc>
      </w:tr>
      <w:tr w:rsidR="003B5EBC">
        <w:trPr>
          <w:trHeight w:val="445"/>
          <w:jc w:val="center"/>
        </w:trPr>
        <w:tc>
          <w:tcPr>
            <w:tcW w:w="10391" w:type="dxa"/>
            <w:gridSpan w:val="4"/>
            <w:shd w:val="clear" w:color="auto" w:fill="E7E6E6" w:themeFill="background2"/>
            <w:vAlign w:val="center"/>
          </w:tcPr>
          <w:p w:rsidR="003B5EBC" w:rsidRDefault="00A1518B">
            <w:pPr>
              <w:pStyle w:val="paragraph"/>
              <w:spacing w:after="0"/>
              <w:textAlignment w:val="baseline"/>
              <w:rPr>
                <w:rFonts w:ascii="Garamond" w:hAnsi="Garamond" w:cstheme="majorBidi"/>
                <w:b/>
                <w:bCs/>
                <w:lang w:val="zh-CN"/>
              </w:rPr>
            </w:pPr>
            <w:r>
              <w:rPr>
                <w:rFonts w:ascii="Garamond" w:hAnsi="Garamond" w:cstheme="majorBidi"/>
                <w:b/>
                <w:bCs/>
                <w:lang w:val="zh-CN"/>
              </w:rPr>
              <w:t>Mission 1 — Analyse juridique, institutionnelle et comparative</w:t>
            </w:r>
          </w:p>
        </w:tc>
      </w:tr>
      <w:tr w:rsidR="003B5EBC">
        <w:trPr>
          <w:trHeight w:val="143"/>
          <w:jc w:val="center"/>
        </w:trPr>
        <w:tc>
          <w:tcPr>
            <w:tcW w:w="0" w:type="auto"/>
            <w:vAlign w:val="center"/>
          </w:tcPr>
          <w:p w:rsidR="003B5EBC" w:rsidRDefault="00A1518B">
            <w:pPr>
              <w:spacing w:after="0" w:line="240" w:lineRule="auto"/>
              <w:rPr>
                <w:rFonts w:ascii="Garamond" w:eastAsia="Times New Roman" w:hAnsi="Garamond" w:cs="Times New Roman"/>
                <w:sz w:val="24"/>
                <w:szCs w:val="24"/>
                <w:lang w:eastAsia="fr-FR"/>
              </w:rPr>
            </w:pPr>
            <w:r>
              <w:rPr>
                <w:rFonts w:ascii="Garamond" w:eastAsia="Times New Roman" w:hAnsi="Garamond" w:cs="Times New Roman"/>
                <w:sz w:val="24"/>
                <w:szCs w:val="24"/>
                <w:lang w:eastAsia="fr-FR"/>
              </w:rPr>
              <w:t xml:space="preserve">L1.1 — Note d’analyse juridique et réglementaire relative au </w:t>
            </w:r>
            <w:hyperlink r:id="rId25" w:history="1">
              <w:r>
                <w:rPr>
                  <w:rStyle w:val="Lienhypertexte"/>
                  <w:rFonts w:ascii="Garamond" w:hAnsi="Garamond"/>
                  <w:sz w:val="24"/>
                  <w:szCs w:val="24"/>
                </w:rPr>
                <w:t>Cadre r</w:t>
              </w:r>
              <w:r>
                <w:rPr>
                  <w:rStyle w:val="Lienhypertexte"/>
                  <w:rFonts w:ascii="Garamond" w:eastAsia="Malgun Gothic" w:hAnsi="Garamond" w:cs="Malgun Gothic"/>
                  <w:sz w:val="24"/>
                  <w:szCs w:val="24"/>
                </w:rPr>
                <w:t>é</w:t>
              </w:r>
              <w:r>
                <w:rPr>
                  <w:rStyle w:val="Lienhypertexte"/>
                  <w:rFonts w:ascii="Garamond" w:hAnsi="Garamond"/>
                  <w:sz w:val="24"/>
                  <w:szCs w:val="24"/>
                </w:rPr>
                <w:t>glementaire national de l'APA</w:t>
              </w:r>
            </w:hyperlink>
          </w:p>
        </w:tc>
        <w:tc>
          <w:tcPr>
            <w:tcW w:w="0" w:type="auto"/>
            <w:vAlign w:val="center"/>
          </w:tcPr>
          <w:p w:rsidR="003B5EBC" w:rsidRDefault="00A1518B">
            <w:pPr>
              <w:spacing w:after="0"/>
              <w:jc w:val="center"/>
              <w:rPr>
                <w:rFonts w:ascii="Garamond" w:eastAsia="Times New Roman" w:hAnsi="Garamond" w:cstheme="majorBidi"/>
                <w:sz w:val="24"/>
                <w:szCs w:val="24"/>
                <w:lang w:eastAsia="fr-FR"/>
              </w:rPr>
            </w:pPr>
            <w:r>
              <w:rPr>
                <w:rFonts w:ascii="Garamond" w:eastAsia="Times New Roman" w:hAnsi="Garamond" w:cstheme="majorBidi"/>
                <w:sz w:val="24"/>
                <w:szCs w:val="24"/>
                <w:lang w:eastAsia="fr-FR"/>
              </w:rPr>
              <w:t>1</w:t>
            </w:r>
          </w:p>
        </w:tc>
        <w:tc>
          <w:tcPr>
            <w:tcW w:w="1183" w:type="dxa"/>
          </w:tcPr>
          <w:p w:rsidR="003B5EBC" w:rsidRDefault="003B5EBC">
            <w:pPr>
              <w:spacing w:after="0"/>
              <w:rPr>
                <w:rFonts w:ascii="Garamond" w:eastAsia="Times New Roman" w:hAnsi="Garamond" w:cs="Times New Roman"/>
                <w:sz w:val="24"/>
                <w:szCs w:val="24"/>
                <w:lang w:eastAsia="fr-FR"/>
              </w:rPr>
            </w:pPr>
          </w:p>
        </w:tc>
        <w:tc>
          <w:tcPr>
            <w:tcW w:w="1040" w:type="dxa"/>
          </w:tcPr>
          <w:p w:rsidR="003B5EBC" w:rsidRDefault="003B5EBC">
            <w:pPr>
              <w:spacing w:after="0"/>
              <w:rPr>
                <w:rFonts w:ascii="Garamond" w:eastAsia="Times New Roman" w:hAnsi="Garamond" w:cs="Times New Roman"/>
                <w:sz w:val="24"/>
                <w:szCs w:val="24"/>
                <w:highlight w:val="green"/>
                <w:lang w:eastAsia="fr-FR"/>
              </w:rPr>
            </w:pPr>
          </w:p>
        </w:tc>
      </w:tr>
      <w:tr w:rsidR="003B5EBC">
        <w:trPr>
          <w:trHeight w:val="143"/>
          <w:jc w:val="center"/>
        </w:trPr>
        <w:tc>
          <w:tcPr>
            <w:tcW w:w="0" w:type="auto"/>
            <w:vAlign w:val="center"/>
          </w:tcPr>
          <w:p w:rsidR="003B5EBC" w:rsidRDefault="00A1518B">
            <w:pPr>
              <w:spacing w:after="0" w:line="240" w:lineRule="auto"/>
              <w:rPr>
                <w:rFonts w:ascii="Garamond" w:eastAsia="Times New Roman" w:hAnsi="Garamond" w:cs="Times New Roman"/>
                <w:sz w:val="24"/>
                <w:szCs w:val="24"/>
                <w:lang w:eastAsia="fr-FR"/>
              </w:rPr>
            </w:pPr>
            <w:r>
              <w:rPr>
                <w:rFonts w:ascii="Garamond" w:eastAsia="Times New Roman" w:hAnsi="Garamond" w:cs="Times New Roman"/>
                <w:sz w:val="24"/>
                <w:szCs w:val="24"/>
                <w:lang w:eastAsia="fr-FR"/>
              </w:rPr>
              <w:t>L1.2 — Rapport de cartographie des procédures existantes et de gouvernance institutionnelle</w:t>
            </w:r>
          </w:p>
        </w:tc>
        <w:tc>
          <w:tcPr>
            <w:tcW w:w="0" w:type="auto"/>
            <w:vAlign w:val="center"/>
          </w:tcPr>
          <w:p w:rsidR="003B5EBC" w:rsidRDefault="00A1518B">
            <w:pPr>
              <w:spacing w:after="0"/>
              <w:jc w:val="center"/>
              <w:rPr>
                <w:rFonts w:ascii="Garamond" w:eastAsia="Times New Roman" w:hAnsi="Garamond" w:cstheme="majorBidi"/>
                <w:sz w:val="24"/>
                <w:szCs w:val="24"/>
                <w:lang w:eastAsia="fr-FR"/>
              </w:rPr>
            </w:pPr>
            <w:r>
              <w:rPr>
                <w:rFonts w:ascii="Garamond" w:eastAsia="Times New Roman" w:hAnsi="Garamond" w:cstheme="majorBidi"/>
                <w:sz w:val="24"/>
                <w:szCs w:val="24"/>
                <w:lang w:eastAsia="fr-FR"/>
              </w:rPr>
              <w:t>1</w:t>
            </w:r>
          </w:p>
        </w:tc>
        <w:tc>
          <w:tcPr>
            <w:tcW w:w="1183" w:type="dxa"/>
          </w:tcPr>
          <w:p w:rsidR="003B5EBC" w:rsidRDefault="003B5EBC">
            <w:pPr>
              <w:spacing w:after="0"/>
              <w:rPr>
                <w:rFonts w:ascii="Garamond" w:eastAsia="Times New Roman" w:hAnsi="Garamond" w:cs="Times New Roman"/>
                <w:sz w:val="24"/>
                <w:szCs w:val="24"/>
                <w:lang w:eastAsia="fr-FR"/>
              </w:rPr>
            </w:pPr>
          </w:p>
        </w:tc>
        <w:tc>
          <w:tcPr>
            <w:tcW w:w="1040" w:type="dxa"/>
          </w:tcPr>
          <w:p w:rsidR="003B5EBC" w:rsidRDefault="003B5EBC">
            <w:pPr>
              <w:spacing w:after="0"/>
              <w:rPr>
                <w:rFonts w:ascii="Garamond" w:eastAsia="Times New Roman" w:hAnsi="Garamond" w:cs="Times New Roman"/>
                <w:sz w:val="24"/>
                <w:szCs w:val="24"/>
                <w:highlight w:val="green"/>
                <w:lang w:eastAsia="fr-FR"/>
              </w:rPr>
            </w:pPr>
          </w:p>
        </w:tc>
      </w:tr>
      <w:tr w:rsidR="003B5EBC">
        <w:trPr>
          <w:trHeight w:val="143"/>
          <w:jc w:val="center"/>
        </w:trPr>
        <w:tc>
          <w:tcPr>
            <w:tcW w:w="0" w:type="auto"/>
            <w:vAlign w:val="center"/>
          </w:tcPr>
          <w:p w:rsidR="003B5EBC" w:rsidRDefault="00A1518B">
            <w:pPr>
              <w:spacing w:after="0" w:line="240" w:lineRule="auto"/>
              <w:rPr>
                <w:rFonts w:ascii="Garamond" w:eastAsia="Times New Roman" w:hAnsi="Garamond" w:cs="Times New Roman"/>
                <w:sz w:val="24"/>
                <w:szCs w:val="24"/>
                <w:lang w:eastAsia="fr-FR"/>
              </w:rPr>
            </w:pPr>
            <w:r>
              <w:rPr>
                <w:rFonts w:ascii="Garamond" w:eastAsia="Times New Roman" w:hAnsi="Garamond" w:cs="Times New Roman"/>
                <w:sz w:val="24"/>
                <w:szCs w:val="24"/>
                <w:lang w:eastAsia="fr-FR"/>
              </w:rPr>
              <w:t>L1.3 — Rapport de benchmark national et international des systèmes électroniques de permis APA, guichets uniques et plateformes interconnectées, incluant l’analyse de l’expérience camerounaise</w:t>
            </w:r>
          </w:p>
        </w:tc>
        <w:tc>
          <w:tcPr>
            <w:tcW w:w="0" w:type="auto"/>
            <w:vAlign w:val="center"/>
          </w:tcPr>
          <w:p w:rsidR="003B5EBC" w:rsidRDefault="00A1518B">
            <w:pPr>
              <w:spacing w:after="0"/>
              <w:jc w:val="center"/>
              <w:rPr>
                <w:rFonts w:ascii="Garamond" w:eastAsia="Times New Roman" w:hAnsi="Garamond" w:cstheme="majorBidi"/>
                <w:sz w:val="24"/>
                <w:szCs w:val="24"/>
                <w:lang w:eastAsia="fr-FR"/>
              </w:rPr>
            </w:pPr>
            <w:r>
              <w:rPr>
                <w:rFonts w:ascii="Garamond" w:eastAsia="Times New Roman" w:hAnsi="Garamond" w:cstheme="majorBidi"/>
                <w:sz w:val="24"/>
                <w:szCs w:val="24"/>
                <w:lang w:eastAsia="fr-FR"/>
              </w:rPr>
              <w:t>1</w:t>
            </w:r>
          </w:p>
        </w:tc>
        <w:tc>
          <w:tcPr>
            <w:tcW w:w="1183" w:type="dxa"/>
          </w:tcPr>
          <w:p w:rsidR="003B5EBC" w:rsidRDefault="003B5EBC">
            <w:pPr>
              <w:spacing w:after="0"/>
              <w:rPr>
                <w:rFonts w:ascii="Garamond" w:eastAsia="Times New Roman" w:hAnsi="Garamond" w:cs="Times New Roman"/>
                <w:sz w:val="24"/>
                <w:szCs w:val="24"/>
                <w:lang w:eastAsia="fr-FR"/>
              </w:rPr>
            </w:pPr>
          </w:p>
        </w:tc>
        <w:tc>
          <w:tcPr>
            <w:tcW w:w="1040" w:type="dxa"/>
          </w:tcPr>
          <w:p w:rsidR="003B5EBC" w:rsidRDefault="003B5EBC">
            <w:pPr>
              <w:spacing w:after="0"/>
              <w:rPr>
                <w:rFonts w:ascii="Garamond" w:eastAsia="Times New Roman" w:hAnsi="Garamond" w:cs="Times New Roman"/>
                <w:sz w:val="24"/>
                <w:szCs w:val="24"/>
                <w:highlight w:val="green"/>
                <w:lang w:eastAsia="fr-FR"/>
              </w:rPr>
            </w:pPr>
          </w:p>
        </w:tc>
      </w:tr>
      <w:tr w:rsidR="003B5EBC">
        <w:trPr>
          <w:trHeight w:val="508"/>
          <w:jc w:val="center"/>
        </w:trPr>
        <w:tc>
          <w:tcPr>
            <w:tcW w:w="10391" w:type="dxa"/>
            <w:gridSpan w:val="4"/>
            <w:shd w:val="clear" w:color="auto" w:fill="E7E6E6" w:themeFill="background2"/>
            <w:vAlign w:val="center"/>
          </w:tcPr>
          <w:p w:rsidR="003B5EBC" w:rsidRDefault="00A1518B">
            <w:pPr>
              <w:pStyle w:val="paragraph"/>
              <w:spacing w:after="0" w:afterAutospacing="0"/>
              <w:jc w:val="both"/>
              <w:textAlignment w:val="baseline"/>
              <w:rPr>
                <w:rFonts w:ascii="Garamond" w:hAnsi="Garamond" w:cstheme="majorBidi"/>
                <w:b/>
                <w:bCs/>
                <w:lang w:val="zh-CN"/>
              </w:rPr>
            </w:pPr>
            <w:r>
              <w:rPr>
                <w:rFonts w:ascii="Garamond" w:hAnsi="Garamond" w:cstheme="majorHAnsi"/>
                <w:b/>
                <w:bCs/>
              </w:rPr>
              <w:t xml:space="preserve"> M</w:t>
            </w:r>
            <w:r>
              <w:rPr>
                <w:rFonts w:ascii="Garamond" w:hAnsi="Garamond" w:cstheme="majorHAnsi"/>
                <w:b/>
                <w:bCs/>
                <w:lang w:val="zh-CN"/>
              </w:rPr>
              <w:t>ission d’échange technique— Benchmark international / Cameroun</w:t>
            </w:r>
            <w:r>
              <w:rPr>
                <w:rFonts w:ascii="Garamond" w:hAnsi="Garamond" w:cstheme="majorBidi"/>
                <w:b/>
                <w:bCs/>
                <w:lang w:val="zh-CN"/>
              </w:rPr>
              <w:t xml:space="preserve"> </w:t>
            </w:r>
          </w:p>
        </w:tc>
      </w:tr>
      <w:tr w:rsidR="003B5EBC">
        <w:trPr>
          <w:trHeight w:val="212"/>
          <w:jc w:val="center"/>
        </w:trPr>
        <w:tc>
          <w:tcPr>
            <w:tcW w:w="0" w:type="auto"/>
            <w:vAlign w:val="center"/>
          </w:tcPr>
          <w:p w:rsidR="003B5EBC" w:rsidRDefault="00A1518B">
            <w:pPr>
              <w:spacing w:after="0" w:line="240" w:lineRule="auto"/>
              <w:jc w:val="both"/>
              <w:rPr>
                <w:rFonts w:ascii="Garamond" w:hAnsi="Garamond" w:cstheme="majorHAnsi"/>
                <w:sz w:val="24"/>
                <w:szCs w:val="24"/>
                <w:lang w:val="fr-FR"/>
              </w:rPr>
            </w:pPr>
            <w:r>
              <w:rPr>
                <w:rFonts w:ascii="Garamond" w:hAnsi="Garamond" w:cstheme="majorHAnsi"/>
                <w:sz w:val="24"/>
                <w:szCs w:val="24"/>
              </w:rPr>
              <w:t>Voyage international au Cameroun de deux personnes, pour une durée maximale de deux jours.</w:t>
            </w:r>
          </w:p>
        </w:tc>
        <w:tc>
          <w:tcPr>
            <w:tcW w:w="0" w:type="auto"/>
            <w:vAlign w:val="center"/>
          </w:tcPr>
          <w:p w:rsidR="003B5EBC" w:rsidRDefault="00A1518B">
            <w:pPr>
              <w:spacing w:after="0"/>
              <w:jc w:val="center"/>
              <w:rPr>
                <w:rFonts w:ascii="Garamond" w:eastAsia="Times New Roman" w:hAnsi="Garamond" w:cstheme="majorBidi"/>
                <w:sz w:val="24"/>
                <w:szCs w:val="24"/>
                <w:lang w:eastAsia="fr-FR"/>
              </w:rPr>
            </w:pPr>
            <w:r>
              <w:rPr>
                <w:rFonts w:ascii="Garamond" w:eastAsia="Times New Roman" w:hAnsi="Garamond" w:cstheme="majorBidi"/>
                <w:sz w:val="24"/>
                <w:szCs w:val="24"/>
                <w:lang w:eastAsia="fr-FR"/>
              </w:rPr>
              <w:t>1</w:t>
            </w:r>
          </w:p>
        </w:tc>
        <w:tc>
          <w:tcPr>
            <w:tcW w:w="1183" w:type="dxa"/>
          </w:tcPr>
          <w:p w:rsidR="003B5EBC" w:rsidRDefault="003B5EBC">
            <w:pPr>
              <w:spacing w:after="0"/>
              <w:rPr>
                <w:rFonts w:ascii="Garamond" w:eastAsia="Times New Roman" w:hAnsi="Garamond" w:cs="Times New Roman"/>
                <w:sz w:val="24"/>
                <w:szCs w:val="24"/>
                <w:highlight w:val="green"/>
                <w:lang w:eastAsia="fr-FR"/>
              </w:rPr>
            </w:pPr>
          </w:p>
        </w:tc>
        <w:tc>
          <w:tcPr>
            <w:tcW w:w="1040" w:type="dxa"/>
          </w:tcPr>
          <w:p w:rsidR="003B5EBC" w:rsidRDefault="003B5EBC">
            <w:pPr>
              <w:spacing w:after="0"/>
              <w:rPr>
                <w:rFonts w:ascii="Garamond" w:eastAsia="Times New Roman" w:hAnsi="Garamond" w:cs="Times New Roman"/>
                <w:sz w:val="24"/>
                <w:szCs w:val="24"/>
                <w:highlight w:val="green"/>
                <w:lang w:eastAsia="fr-FR"/>
              </w:rPr>
            </w:pPr>
          </w:p>
        </w:tc>
      </w:tr>
      <w:tr w:rsidR="003B5EBC">
        <w:trPr>
          <w:trHeight w:val="532"/>
          <w:jc w:val="center"/>
        </w:trPr>
        <w:tc>
          <w:tcPr>
            <w:tcW w:w="10391" w:type="dxa"/>
            <w:gridSpan w:val="4"/>
            <w:shd w:val="clear" w:color="auto" w:fill="E7E6E6" w:themeFill="background2"/>
            <w:vAlign w:val="center"/>
          </w:tcPr>
          <w:p w:rsidR="003B5EBC" w:rsidRDefault="00A1518B">
            <w:pPr>
              <w:spacing w:after="0"/>
              <w:rPr>
                <w:rFonts w:ascii="Garamond" w:eastAsia="Times New Roman" w:hAnsi="Garamond" w:cs="Times New Roman"/>
                <w:b/>
                <w:bCs/>
                <w:sz w:val="24"/>
                <w:szCs w:val="24"/>
                <w:highlight w:val="green"/>
                <w:lang w:eastAsia="fr-FR"/>
              </w:rPr>
            </w:pPr>
            <w:r>
              <w:rPr>
                <w:rFonts w:ascii="Garamond" w:eastAsia="Times New Roman" w:hAnsi="Garamond" w:cs="Times New Roman"/>
                <w:b/>
                <w:bCs/>
                <w:sz w:val="24"/>
                <w:szCs w:val="24"/>
                <w:lang w:eastAsia="fr-FR"/>
              </w:rPr>
              <w:t xml:space="preserve">Mission 2 — </w:t>
            </w:r>
            <w:r w:rsidR="00C00FCA">
              <w:rPr>
                <w:rFonts w:ascii="Garamond" w:eastAsia="Times New Roman" w:hAnsi="Garamond" w:cs="Times New Roman"/>
                <w:b/>
                <w:bCs/>
                <w:sz w:val="24"/>
                <w:szCs w:val="24"/>
                <w:lang w:val="fr-FR" w:eastAsia="fr-FR"/>
              </w:rPr>
              <w:t>Cadrage et c</w:t>
            </w:r>
            <w:r>
              <w:rPr>
                <w:rFonts w:ascii="Garamond" w:eastAsia="Times New Roman" w:hAnsi="Garamond" w:cs="Times New Roman"/>
                <w:b/>
                <w:bCs/>
                <w:sz w:val="24"/>
                <w:szCs w:val="24"/>
                <w:lang w:eastAsia="fr-FR"/>
              </w:rPr>
              <w:t>onception fonctionnelle, technique et réglementaire du système</w:t>
            </w:r>
          </w:p>
        </w:tc>
      </w:tr>
      <w:tr w:rsidR="003B5EBC">
        <w:trPr>
          <w:trHeight w:val="212"/>
          <w:jc w:val="center"/>
        </w:trPr>
        <w:tc>
          <w:tcPr>
            <w:tcW w:w="0" w:type="auto"/>
            <w:vAlign w:val="center"/>
          </w:tcPr>
          <w:p w:rsidR="003B5EBC" w:rsidRDefault="00A1518B">
            <w:pPr>
              <w:spacing w:after="0" w:line="240" w:lineRule="auto"/>
              <w:jc w:val="both"/>
              <w:rPr>
                <w:rFonts w:ascii="Garamond" w:hAnsi="Garamond" w:cstheme="majorHAnsi"/>
                <w:sz w:val="24"/>
                <w:szCs w:val="24"/>
                <w:lang w:val="fr-FR"/>
              </w:rPr>
            </w:pPr>
            <w:r>
              <w:rPr>
                <w:rFonts w:ascii="Garamond" w:hAnsi="Garamond" w:cstheme="majorHAnsi"/>
                <w:sz w:val="24"/>
                <w:szCs w:val="24"/>
              </w:rPr>
              <w:t>L2.1 — Cahier des charges fonctionnel et technique du système électronique de permis APA</w:t>
            </w:r>
          </w:p>
        </w:tc>
        <w:tc>
          <w:tcPr>
            <w:tcW w:w="0" w:type="auto"/>
            <w:vAlign w:val="center"/>
          </w:tcPr>
          <w:p w:rsidR="003B5EBC" w:rsidRDefault="00A1518B">
            <w:pPr>
              <w:spacing w:after="0"/>
              <w:jc w:val="center"/>
              <w:rPr>
                <w:rFonts w:ascii="Garamond" w:eastAsia="Times New Roman" w:hAnsi="Garamond" w:cs="Times New Roman"/>
                <w:sz w:val="24"/>
                <w:szCs w:val="24"/>
                <w:highlight w:val="green"/>
                <w:lang w:eastAsia="fr-FR"/>
              </w:rPr>
            </w:pPr>
            <w:r>
              <w:rPr>
                <w:rFonts w:ascii="Garamond" w:eastAsia="Times New Roman" w:hAnsi="Garamond" w:cstheme="majorBidi"/>
                <w:sz w:val="24"/>
                <w:szCs w:val="24"/>
                <w:lang w:eastAsia="fr-FR"/>
              </w:rPr>
              <w:t>1</w:t>
            </w:r>
          </w:p>
        </w:tc>
        <w:tc>
          <w:tcPr>
            <w:tcW w:w="1183" w:type="dxa"/>
          </w:tcPr>
          <w:p w:rsidR="003B5EBC" w:rsidRDefault="003B5EBC">
            <w:pPr>
              <w:spacing w:after="0"/>
              <w:rPr>
                <w:rFonts w:ascii="Garamond" w:eastAsia="Times New Roman" w:hAnsi="Garamond" w:cs="Times New Roman"/>
                <w:sz w:val="24"/>
                <w:szCs w:val="24"/>
                <w:highlight w:val="green"/>
                <w:lang w:eastAsia="fr-FR"/>
              </w:rPr>
            </w:pPr>
          </w:p>
        </w:tc>
        <w:tc>
          <w:tcPr>
            <w:tcW w:w="1040" w:type="dxa"/>
          </w:tcPr>
          <w:p w:rsidR="003B5EBC" w:rsidRDefault="003B5EBC">
            <w:pPr>
              <w:spacing w:after="0"/>
              <w:rPr>
                <w:rFonts w:ascii="Garamond" w:eastAsia="Times New Roman" w:hAnsi="Garamond" w:cs="Times New Roman"/>
                <w:sz w:val="24"/>
                <w:szCs w:val="24"/>
                <w:highlight w:val="green"/>
                <w:lang w:eastAsia="fr-FR"/>
              </w:rPr>
            </w:pPr>
          </w:p>
        </w:tc>
      </w:tr>
      <w:tr w:rsidR="003B5EBC">
        <w:trPr>
          <w:trHeight w:val="212"/>
          <w:jc w:val="center"/>
        </w:trPr>
        <w:tc>
          <w:tcPr>
            <w:tcW w:w="0" w:type="auto"/>
            <w:vAlign w:val="center"/>
          </w:tcPr>
          <w:p w:rsidR="003B5EBC" w:rsidRDefault="00A1518B">
            <w:pPr>
              <w:spacing w:after="0" w:line="240" w:lineRule="auto"/>
              <w:jc w:val="both"/>
              <w:rPr>
                <w:rFonts w:ascii="Garamond" w:hAnsi="Garamond" w:cstheme="majorHAnsi"/>
                <w:sz w:val="24"/>
                <w:szCs w:val="24"/>
                <w:lang w:val="fr-FR"/>
              </w:rPr>
            </w:pPr>
            <w:r>
              <w:rPr>
                <w:rFonts w:ascii="Garamond" w:hAnsi="Garamond" w:cstheme="majorHAnsi"/>
                <w:sz w:val="24"/>
                <w:szCs w:val="24"/>
              </w:rPr>
              <w:t>L2.2 — Architecture fonctionnelle et technique détaillée du système électronique APA</w:t>
            </w:r>
          </w:p>
        </w:tc>
        <w:tc>
          <w:tcPr>
            <w:tcW w:w="0" w:type="auto"/>
            <w:vAlign w:val="center"/>
          </w:tcPr>
          <w:p w:rsidR="003B5EBC" w:rsidRDefault="00A1518B">
            <w:pPr>
              <w:spacing w:after="0"/>
              <w:jc w:val="center"/>
              <w:rPr>
                <w:rFonts w:ascii="Garamond" w:eastAsia="Times New Roman" w:hAnsi="Garamond" w:cstheme="majorBidi"/>
                <w:sz w:val="24"/>
                <w:szCs w:val="24"/>
                <w:lang w:eastAsia="fr-FR"/>
              </w:rPr>
            </w:pPr>
            <w:r>
              <w:rPr>
                <w:rFonts w:ascii="Garamond" w:eastAsia="Times New Roman" w:hAnsi="Garamond" w:cstheme="majorBidi"/>
                <w:sz w:val="24"/>
                <w:szCs w:val="24"/>
                <w:lang w:eastAsia="fr-FR"/>
              </w:rPr>
              <w:t>1</w:t>
            </w:r>
          </w:p>
        </w:tc>
        <w:tc>
          <w:tcPr>
            <w:tcW w:w="1183" w:type="dxa"/>
          </w:tcPr>
          <w:p w:rsidR="003B5EBC" w:rsidRDefault="003B5EBC">
            <w:pPr>
              <w:spacing w:after="0"/>
              <w:rPr>
                <w:rFonts w:ascii="Garamond" w:eastAsia="Times New Roman" w:hAnsi="Garamond" w:cs="Times New Roman"/>
                <w:sz w:val="24"/>
                <w:szCs w:val="24"/>
                <w:highlight w:val="green"/>
                <w:lang w:eastAsia="fr-FR"/>
              </w:rPr>
            </w:pPr>
          </w:p>
        </w:tc>
        <w:tc>
          <w:tcPr>
            <w:tcW w:w="1040" w:type="dxa"/>
          </w:tcPr>
          <w:p w:rsidR="003B5EBC" w:rsidRDefault="003B5EBC">
            <w:pPr>
              <w:spacing w:after="0"/>
              <w:rPr>
                <w:rFonts w:ascii="Garamond" w:eastAsia="Times New Roman" w:hAnsi="Garamond" w:cs="Times New Roman"/>
                <w:sz w:val="24"/>
                <w:szCs w:val="24"/>
                <w:highlight w:val="green"/>
                <w:lang w:eastAsia="fr-FR"/>
              </w:rPr>
            </w:pPr>
          </w:p>
        </w:tc>
      </w:tr>
      <w:tr w:rsidR="003B5EBC">
        <w:trPr>
          <w:trHeight w:val="212"/>
          <w:jc w:val="center"/>
        </w:trPr>
        <w:tc>
          <w:tcPr>
            <w:tcW w:w="0" w:type="auto"/>
            <w:vAlign w:val="center"/>
          </w:tcPr>
          <w:p w:rsidR="003B5EBC" w:rsidRDefault="00A1518B">
            <w:pPr>
              <w:spacing w:after="0" w:line="240" w:lineRule="auto"/>
              <w:jc w:val="both"/>
              <w:rPr>
                <w:rFonts w:ascii="Garamond" w:hAnsi="Garamond" w:cstheme="majorHAnsi"/>
                <w:sz w:val="24"/>
                <w:szCs w:val="24"/>
                <w:lang w:val="fr-FR"/>
              </w:rPr>
            </w:pPr>
            <w:r>
              <w:rPr>
                <w:rFonts w:ascii="Garamond" w:hAnsi="Garamond" w:cstheme="majorHAnsi"/>
                <w:sz w:val="24"/>
                <w:szCs w:val="24"/>
              </w:rPr>
              <w:t>L2.3 — Note d’analyse de l’interopérabilité, de l’hébergement et de la compatibilité informatique avec l’environnement du MTEDD-DDD et les systèmes existants</w:t>
            </w:r>
          </w:p>
        </w:tc>
        <w:tc>
          <w:tcPr>
            <w:tcW w:w="0" w:type="auto"/>
            <w:vAlign w:val="center"/>
          </w:tcPr>
          <w:p w:rsidR="003B5EBC" w:rsidRDefault="00A1518B">
            <w:pPr>
              <w:spacing w:after="0"/>
              <w:jc w:val="center"/>
              <w:rPr>
                <w:rFonts w:ascii="Garamond" w:eastAsia="Times New Roman" w:hAnsi="Garamond" w:cs="Times New Roman"/>
                <w:sz w:val="24"/>
                <w:szCs w:val="24"/>
                <w:highlight w:val="green"/>
                <w:lang w:eastAsia="fr-FR"/>
              </w:rPr>
            </w:pPr>
            <w:r>
              <w:rPr>
                <w:rFonts w:ascii="Garamond" w:eastAsia="Times New Roman" w:hAnsi="Garamond" w:cstheme="majorBidi"/>
                <w:sz w:val="24"/>
                <w:szCs w:val="24"/>
                <w:lang w:eastAsia="fr-FR"/>
              </w:rPr>
              <w:t>1</w:t>
            </w:r>
          </w:p>
        </w:tc>
        <w:tc>
          <w:tcPr>
            <w:tcW w:w="1183" w:type="dxa"/>
          </w:tcPr>
          <w:p w:rsidR="003B5EBC" w:rsidRDefault="003B5EBC">
            <w:pPr>
              <w:spacing w:after="0"/>
              <w:rPr>
                <w:rFonts w:ascii="Garamond" w:eastAsia="Times New Roman" w:hAnsi="Garamond" w:cs="Times New Roman"/>
                <w:sz w:val="24"/>
                <w:szCs w:val="24"/>
                <w:highlight w:val="green"/>
                <w:lang w:eastAsia="fr-FR"/>
              </w:rPr>
            </w:pPr>
          </w:p>
        </w:tc>
        <w:tc>
          <w:tcPr>
            <w:tcW w:w="1040" w:type="dxa"/>
          </w:tcPr>
          <w:p w:rsidR="003B5EBC" w:rsidRDefault="003B5EBC">
            <w:pPr>
              <w:spacing w:after="0"/>
              <w:rPr>
                <w:rFonts w:ascii="Garamond" w:eastAsia="Times New Roman" w:hAnsi="Garamond" w:cs="Times New Roman"/>
                <w:sz w:val="24"/>
                <w:szCs w:val="24"/>
                <w:highlight w:val="green"/>
                <w:lang w:eastAsia="fr-FR"/>
              </w:rPr>
            </w:pPr>
          </w:p>
        </w:tc>
      </w:tr>
      <w:tr w:rsidR="003B5EBC">
        <w:trPr>
          <w:trHeight w:val="442"/>
          <w:jc w:val="center"/>
        </w:trPr>
        <w:tc>
          <w:tcPr>
            <w:tcW w:w="10391" w:type="dxa"/>
            <w:gridSpan w:val="4"/>
            <w:shd w:val="clear" w:color="auto" w:fill="D0CECE" w:themeFill="background2" w:themeFillShade="E6"/>
            <w:vAlign w:val="center"/>
          </w:tcPr>
          <w:p w:rsidR="003B5EBC" w:rsidRDefault="00A1518B">
            <w:pPr>
              <w:spacing w:after="0"/>
              <w:rPr>
                <w:rFonts w:ascii="Garamond" w:eastAsia="Times New Roman" w:hAnsi="Garamond" w:cs="Times New Roman"/>
                <w:b/>
                <w:bCs/>
                <w:sz w:val="24"/>
                <w:szCs w:val="24"/>
                <w:highlight w:val="green"/>
                <w:lang w:eastAsia="fr-FR"/>
              </w:rPr>
            </w:pPr>
            <w:r>
              <w:rPr>
                <w:rFonts w:ascii="Garamond" w:eastAsia="Times New Roman" w:hAnsi="Garamond" w:cs="Times New Roman"/>
                <w:b/>
                <w:bCs/>
                <w:sz w:val="24"/>
                <w:szCs w:val="24"/>
                <w:lang w:eastAsia="fr-FR"/>
              </w:rPr>
              <w:t>Mission 3 — Développement, mise en ligne, formation et transfert de compétences</w:t>
            </w:r>
          </w:p>
        </w:tc>
      </w:tr>
      <w:tr w:rsidR="003B5EBC">
        <w:trPr>
          <w:trHeight w:val="212"/>
          <w:jc w:val="center"/>
        </w:trPr>
        <w:tc>
          <w:tcPr>
            <w:tcW w:w="0" w:type="auto"/>
            <w:vAlign w:val="center"/>
          </w:tcPr>
          <w:p w:rsidR="003B5EBC" w:rsidRDefault="00A1518B">
            <w:pPr>
              <w:spacing w:after="0" w:line="240" w:lineRule="auto"/>
              <w:jc w:val="both"/>
              <w:rPr>
                <w:rFonts w:ascii="Garamond" w:hAnsi="Garamond" w:cstheme="majorHAnsi"/>
                <w:sz w:val="24"/>
                <w:szCs w:val="24"/>
                <w:lang w:val="fr-FR"/>
              </w:rPr>
            </w:pPr>
            <w:r>
              <w:rPr>
                <w:rFonts w:ascii="Garamond" w:hAnsi="Garamond" w:cstheme="majorHAnsi"/>
                <w:sz w:val="24"/>
                <w:szCs w:val="24"/>
              </w:rPr>
              <w:t>L3.1 — Version bêta de la plateforme électronique APA</w:t>
            </w:r>
          </w:p>
        </w:tc>
        <w:tc>
          <w:tcPr>
            <w:tcW w:w="0" w:type="auto"/>
            <w:vAlign w:val="center"/>
          </w:tcPr>
          <w:p w:rsidR="003B5EBC" w:rsidRDefault="00A1518B">
            <w:pPr>
              <w:spacing w:after="0"/>
              <w:jc w:val="center"/>
              <w:rPr>
                <w:rFonts w:ascii="Garamond" w:eastAsia="Times New Roman" w:hAnsi="Garamond" w:cstheme="majorBidi"/>
                <w:sz w:val="24"/>
                <w:szCs w:val="24"/>
                <w:lang w:eastAsia="fr-FR"/>
              </w:rPr>
            </w:pPr>
            <w:r>
              <w:rPr>
                <w:rFonts w:ascii="Garamond" w:eastAsia="Times New Roman" w:hAnsi="Garamond" w:cstheme="majorBidi"/>
                <w:sz w:val="24"/>
                <w:szCs w:val="24"/>
                <w:lang w:eastAsia="fr-FR"/>
              </w:rPr>
              <w:t>1</w:t>
            </w:r>
          </w:p>
        </w:tc>
        <w:tc>
          <w:tcPr>
            <w:tcW w:w="1183" w:type="dxa"/>
          </w:tcPr>
          <w:p w:rsidR="003B5EBC" w:rsidRDefault="003B5EBC">
            <w:pPr>
              <w:spacing w:after="0"/>
              <w:rPr>
                <w:rFonts w:ascii="Garamond" w:eastAsia="Times New Roman" w:hAnsi="Garamond" w:cs="Times New Roman"/>
                <w:sz w:val="24"/>
                <w:szCs w:val="24"/>
                <w:highlight w:val="green"/>
                <w:lang w:eastAsia="fr-FR"/>
              </w:rPr>
            </w:pPr>
          </w:p>
        </w:tc>
        <w:tc>
          <w:tcPr>
            <w:tcW w:w="1040" w:type="dxa"/>
          </w:tcPr>
          <w:p w:rsidR="003B5EBC" w:rsidRDefault="003B5EBC">
            <w:pPr>
              <w:spacing w:after="0"/>
              <w:rPr>
                <w:rFonts w:ascii="Garamond" w:eastAsia="Times New Roman" w:hAnsi="Garamond" w:cs="Times New Roman"/>
                <w:sz w:val="24"/>
                <w:szCs w:val="24"/>
                <w:highlight w:val="green"/>
                <w:lang w:eastAsia="fr-FR"/>
              </w:rPr>
            </w:pPr>
          </w:p>
        </w:tc>
      </w:tr>
      <w:tr w:rsidR="003B5EBC">
        <w:trPr>
          <w:trHeight w:val="212"/>
          <w:jc w:val="center"/>
        </w:trPr>
        <w:tc>
          <w:tcPr>
            <w:tcW w:w="0" w:type="auto"/>
            <w:vAlign w:val="center"/>
          </w:tcPr>
          <w:p w:rsidR="003B5EBC" w:rsidRDefault="00A1518B">
            <w:pPr>
              <w:spacing w:after="0" w:line="240" w:lineRule="auto"/>
              <w:jc w:val="both"/>
              <w:rPr>
                <w:rFonts w:ascii="Garamond" w:hAnsi="Garamond" w:cstheme="majorHAnsi"/>
                <w:sz w:val="24"/>
                <w:szCs w:val="24"/>
                <w:lang w:val="fr-FR"/>
              </w:rPr>
            </w:pPr>
            <w:r>
              <w:rPr>
                <w:rFonts w:ascii="Garamond" w:hAnsi="Garamond" w:cstheme="majorHAnsi"/>
                <w:sz w:val="24"/>
                <w:szCs w:val="24"/>
              </w:rPr>
              <w:t>L3.2 — Plateforme électronique APA testée, validée et mise en ligne</w:t>
            </w:r>
          </w:p>
        </w:tc>
        <w:tc>
          <w:tcPr>
            <w:tcW w:w="0" w:type="auto"/>
            <w:vAlign w:val="center"/>
          </w:tcPr>
          <w:p w:rsidR="003B5EBC" w:rsidRDefault="00A1518B">
            <w:pPr>
              <w:spacing w:after="0"/>
              <w:jc w:val="center"/>
              <w:rPr>
                <w:rFonts w:ascii="Garamond" w:eastAsia="Times New Roman" w:hAnsi="Garamond" w:cstheme="majorBidi"/>
                <w:sz w:val="24"/>
                <w:szCs w:val="24"/>
                <w:lang w:eastAsia="fr-FR"/>
              </w:rPr>
            </w:pPr>
            <w:r>
              <w:rPr>
                <w:rFonts w:ascii="Garamond" w:eastAsia="Times New Roman" w:hAnsi="Garamond" w:cstheme="majorBidi"/>
                <w:sz w:val="24"/>
                <w:szCs w:val="24"/>
                <w:lang w:eastAsia="fr-FR"/>
              </w:rPr>
              <w:t>1</w:t>
            </w:r>
          </w:p>
        </w:tc>
        <w:tc>
          <w:tcPr>
            <w:tcW w:w="1183" w:type="dxa"/>
          </w:tcPr>
          <w:p w:rsidR="003B5EBC" w:rsidRDefault="003B5EBC">
            <w:pPr>
              <w:spacing w:after="0"/>
              <w:rPr>
                <w:rFonts w:ascii="Garamond" w:eastAsia="Times New Roman" w:hAnsi="Garamond" w:cs="Times New Roman"/>
                <w:sz w:val="24"/>
                <w:szCs w:val="24"/>
                <w:highlight w:val="green"/>
                <w:lang w:eastAsia="fr-FR"/>
              </w:rPr>
            </w:pPr>
          </w:p>
        </w:tc>
        <w:tc>
          <w:tcPr>
            <w:tcW w:w="1040" w:type="dxa"/>
          </w:tcPr>
          <w:p w:rsidR="003B5EBC" w:rsidRDefault="003B5EBC">
            <w:pPr>
              <w:spacing w:after="0"/>
              <w:rPr>
                <w:rFonts w:ascii="Garamond" w:eastAsia="Times New Roman" w:hAnsi="Garamond" w:cs="Times New Roman"/>
                <w:sz w:val="24"/>
                <w:szCs w:val="24"/>
                <w:highlight w:val="green"/>
                <w:lang w:eastAsia="fr-FR"/>
              </w:rPr>
            </w:pPr>
          </w:p>
        </w:tc>
      </w:tr>
      <w:tr w:rsidR="003B5EBC">
        <w:trPr>
          <w:trHeight w:val="212"/>
          <w:jc w:val="center"/>
        </w:trPr>
        <w:tc>
          <w:tcPr>
            <w:tcW w:w="0" w:type="auto"/>
            <w:vAlign w:val="center"/>
          </w:tcPr>
          <w:p w:rsidR="003B5EBC" w:rsidRDefault="00A1518B">
            <w:pPr>
              <w:spacing w:after="0" w:line="240" w:lineRule="auto"/>
              <w:jc w:val="both"/>
              <w:rPr>
                <w:rFonts w:ascii="Garamond" w:hAnsi="Garamond" w:cstheme="majorHAnsi"/>
                <w:sz w:val="24"/>
                <w:szCs w:val="24"/>
                <w:lang w:val="fr-FR"/>
              </w:rPr>
            </w:pPr>
            <w:r>
              <w:rPr>
                <w:rFonts w:ascii="Garamond" w:hAnsi="Garamond" w:cstheme="majorHAnsi"/>
                <w:sz w:val="24"/>
                <w:szCs w:val="24"/>
              </w:rPr>
              <w:t>L3.3 — Manuels, documentation technique, formation et transfert de compétences</w:t>
            </w:r>
          </w:p>
        </w:tc>
        <w:tc>
          <w:tcPr>
            <w:tcW w:w="0" w:type="auto"/>
            <w:vAlign w:val="center"/>
          </w:tcPr>
          <w:p w:rsidR="003B5EBC" w:rsidRDefault="00A1518B">
            <w:pPr>
              <w:spacing w:after="0"/>
              <w:jc w:val="center"/>
              <w:rPr>
                <w:rFonts w:ascii="Garamond" w:eastAsia="Times New Roman" w:hAnsi="Garamond" w:cstheme="majorBidi"/>
                <w:sz w:val="24"/>
                <w:szCs w:val="24"/>
                <w:lang w:eastAsia="fr-FR"/>
              </w:rPr>
            </w:pPr>
            <w:r>
              <w:rPr>
                <w:rFonts w:ascii="Garamond" w:eastAsia="Times New Roman" w:hAnsi="Garamond" w:cstheme="majorBidi"/>
                <w:sz w:val="24"/>
                <w:szCs w:val="24"/>
                <w:lang w:eastAsia="fr-FR"/>
              </w:rPr>
              <w:t>1</w:t>
            </w:r>
          </w:p>
        </w:tc>
        <w:tc>
          <w:tcPr>
            <w:tcW w:w="1183" w:type="dxa"/>
          </w:tcPr>
          <w:p w:rsidR="003B5EBC" w:rsidRDefault="003B5EBC">
            <w:pPr>
              <w:spacing w:after="0"/>
              <w:rPr>
                <w:rFonts w:ascii="Garamond" w:eastAsia="Times New Roman" w:hAnsi="Garamond" w:cs="Times New Roman"/>
                <w:sz w:val="24"/>
                <w:szCs w:val="24"/>
                <w:highlight w:val="green"/>
                <w:lang w:eastAsia="fr-FR"/>
              </w:rPr>
            </w:pPr>
          </w:p>
        </w:tc>
        <w:tc>
          <w:tcPr>
            <w:tcW w:w="1040" w:type="dxa"/>
          </w:tcPr>
          <w:p w:rsidR="003B5EBC" w:rsidRDefault="003B5EBC">
            <w:pPr>
              <w:spacing w:after="0"/>
              <w:rPr>
                <w:rFonts w:ascii="Garamond" w:eastAsia="Times New Roman" w:hAnsi="Garamond" w:cs="Times New Roman"/>
                <w:sz w:val="24"/>
                <w:szCs w:val="24"/>
                <w:highlight w:val="green"/>
                <w:lang w:eastAsia="fr-FR"/>
              </w:rPr>
            </w:pPr>
          </w:p>
        </w:tc>
      </w:tr>
      <w:tr w:rsidR="003B5EBC">
        <w:trPr>
          <w:trHeight w:val="556"/>
          <w:jc w:val="center"/>
        </w:trPr>
        <w:tc>
          <w:tcPr>
            <w:tcW w:w="10391" w:type="dxa"/>
            <w:gridSpan w:val="4"/>
            <w:shd w:val="clear" w:color="auto" w:fill="D0CECE" w:themeFill="background2" w:themeFillShade="E6"/>
            <w:vAlign w:val="center"/>
          </w:tcPr>
          <w:p w:rsidR="003B5EBC" w:rsidRDefault="00A1518B">
            <w:pPr>
              <w:spacing w:after="0"/>
              <w:jc w:val="center"/>
              <w:rPr>
                <w:rFonts w:ascii="Garamond" w:eastAsia="Times New Roman" w:hAnsi="Garamond" w:cs="Times New Roman"/>
                <w:sz w:val="24"/>
                <w:szCs w:val="24"/>
                <w:highlight w:val="green"/>
                <w:lang w:eastAsia="fr-FR"/>
              </w:rPr>
            </w:pPr>
            <w:r>
              <w:rPr>
                <w:rFonts w:ascii="Garamond" w:eastAsia="Times New Roman" w:hAnsi="Garamond" w:cs="Times New Roman"/>
                <w:b/>
                <w:bCs/>
                <w:sz w:val="24"/>
                <w:szCs w:val="24"/>
                <w:lang w:val="en-US" w:eastAsia="fr-FR"/>
              </w:rPr>
              <w:t>Livrable Final — Transversal</w:t>
            </w:r>
          </w:p>
        </w:tc>
      </w:tr>
      <w:tr w:rsidR="003B5EBC">
        <w:trPr>
          <w:trHeight w:val="212"/>
          <w:jc w:val="center"/>
        </w:trPr>
        <w:tc>
          <w:tcPr>
            <w:tcW w:w="0" w:type="auto"/>
            <w:vAlign w:val="center"/>
          </w:tcPr>
          <w:p w:rsidR="003B5EBC" w:rsidRDefault="00A1518B">
            <w:pPr>
              <w:spacing w:after="0" w:line="240" w:lineRule="auto"/>
              <w:jc w:val="both"/>
              <w:rPr>
                <w:rFonts w:ascii="Garamond" w:hAnsi="Garamond" w:cstheme="majorHAnsi"/>
                <w:sz w:val="24"/>
                <w:szCs w:val="24"/>
                <w:lang w:val="fr-FR"/>
              </w:rPr>
            </w:pPr>
            <w:r>
              <w:rPr>
                <w:rFonts w:ascii="Garamond" w:hAnsi="Garamond" w:cstheme="majorHAnsi"/>
                <w:sz w:val="24"/>
                <w:szCs w:val="24"/>
                <w:lang w:val="fr-FR"/>
              </w:rPr>
              <w:t xml:space="preserve">LF.1 : </w:t>
            </w:r>
            <w:r>
              <w:rPr>
                <w:rFonts w:ascii="Garamond" w:hAnsi="Garamond" w:cstheme="majorHAnsi"/>
                <w:sz w:val="24"/>
                <w:szCs w:val="24"/>
              </w:rPr>
              <w:t>Rapport final d’évaluation de la prestation</w:t>
            </w:r>
          </w:p>
        </w:tc>
        <w:tc>
          <w:tcPr>
            <w:tcW w:w="0" w:type="auto"/>
            <w:vAlign w:val="center"/>
          </w:tcPr>
          <w:p w:rsidR="003B5EBC" w:rsidRDefault="00A1518B">
            <w:pPr>
              <w:spacing w:after="0"/>
              <w:jc w:val="center"/>
              <w:rPr>
                <w:rFonts w:ascii="Garamond" w:eastAsia="Times New Roman" w:hAnsi="Garamond" w:cs="Times New Roman"/>
                <w:sz w:val="24"/>
                <w:szCs w:val="24"/>
                <w:highlight w:val="green"/>
                <w:lang w:eastAsia="fr-FR"/>
              </w:rPr>
            </w:pPr>
            <w:r>
              <w:rPr>
                <w:rFonts w:ascii="Garamond" w:eastAsia="Times New Roman" w:hAnsi="Garamond" w:cstheme="majorBidi"/>
                <w:sz w:val="24"/>
                <w:szCs w:val="24"/>
                <w:lang w:eastAsia="fr-FR"/>
              </w:rPr>
              <w:t>1</w:t>
            </w:r>
          </w:p>
        </w:tc>
        <w:tc>
          <w:tcPr>
            <w:tcW w:w="1183" w:type="dxa"/>
          </w:tcPr>
          <w:p w:rsidR="003B5EBC" w:rsidRDefault="003B5EBC">
            <w:pPr>
              <w:spacing w:after="0"/>
              <w:rPr>
                <w:rFonts w:ascii="Garamond" w:eastAsia="Times New Roman" w:hAnsi="Garamond" w:cs="Times New Roman"/>
                <w:sz w:val="24"/>
                <w:szCs w:val="24"/>
                <w:highlight w:val="green"/>
                <w:lang w:eastAsia="fr-FR"/>
              </w:rPr>
            </w:pPr>
          </w:p>
        </w:tc>
        <w:tc>
          <w:tcPr>
            <w:tcW w:w="1040" w:type="dxa"/>
          </w:tcPr>
          <w:p w:rsidR="003B5EBC" w:rsidRDefault="003B5EBC">
            <w:pPr>
              <w:spacing w:after="0"/>
              <w:rPr>
                <w:rFonts w:ascii="Garamond" w:eastAsia="Times New Roman" w:hAnsi="Garamond" w:cs="Times New Roman"/>
                <w:sz w:val="24"/>
                <w:szCs w:val="24"/>
                <w:highlight w:val="green"/>
                <w:lang w:eastAsia="fr-FR"/>
              </w:rPr>
            </w:pPr>
          </w:p>
        </w:tc>
      </w:tr>
      <w:tr w:rsidR="003B5EBC">
        <w:trPr>
          <w:trHeight w:val="514"/>
          <w:jc w:val="center"/>
        </w:trPr>
        <w:tc>
          <w:tcPr>
            <w:tcW w:w="0" w:type="auto"/>
            <w:gridSpan w:val="2"/>
            <w:shd w:val="clear" w:color="auto" w:fill="FFFFFF" w:themeFill="background1"/>
            <w:vAlign w:val="center"/>
          </w:tcPr>
          <w:p w:rsidR="003B5EBC" w:rsidRDefault="00A1518B">
            <w:pPr>
              <w:rPr>
                <w:rFonts w:asciiTheme="majorBidi" w:hAnsiTheme="majorBidi" w:cstheme="majorBidi"/>
                <w:b/>
                <w:bCs/>
                <w:color w:val="000000"/>
              </w:rPr>
            </w:pPr>
            <w:r>
              <w:rPr>
                <w:rFonts w:asciiTheme="majorBidi" w:hAnsiTheme="majorBidi" w:cstheme="majorBidi"/>
                <w:b/>
                <w:bCs/>
                <w:color w:val="000000"/>
              </w:rPr>
              <w:t xml:space="preserve">Montant total HT </w:t>
            </w:r>
          </w:p>
        </w:tc>
        <w:tc>
          <w:tcPr>
            <w:tcW w:w="1183" w:type="dxa"/>
          </w:tcPr>
          <w:p w:rsidR="003B5EBC" w:rsidRDefault="003B5EBC">
            <w:pPr>
              <w:rPr>
                <w:rFonts w:ascii="Calisto MT" w:eastAsia="Times New Roman" w:hAnsi="Calisto MT" w:cs="Times New Roman"/>
                <w:lang w:eastAsia="fr-FR"/>
              </w:rPr>
            </w:pPr>
          </w:p>
        </w:tc>
        <w:tc>
          <w:tcPr>
            <w:tcW w:w="1040" w:type="dxa"/>
          </w:tcPr>
          <w:p w:rsidR="003B5EBC" w:rsidRDefault="003B5EBC">
            <w:pPr>
              <w:rPr>
                <w:rFonts w:ascii="Calisto MT" w:eastAsia="Times New Roman" w:hAnsi="Calisto MT" w:cs="Times New Roman"/>
                <w:lang w:eastAsia="fr-FR"/>
              </w:rPr>
            </w:pPr>
          </w:p>
        </w:tc>
      </w:tr>
      <w:tr w:rsidR="003B5EBC">
        <w:trPr>
          <w:trHeight w:val="514"/>
          <w:jc w:val="center"/>
        </w:trPr>
        <w:tc>
          <w:tcPr>
            <w:tcW w:w="0" w:type="auto"/>
            <w:gridSpan w:val="2"/>
            <w:shd w:val="clear" w:color="auto" w:fill="FFFFFF" w:themeFill="background1"/>
            <w:vAlign w:val="center"/>
          </w:tcPr>
          <w:p w:rsidR="003B5EBC" w:rsidRDefault="00A1518B">
            <w:pPr>
              <w:rPr>
                <w:rFonts w:asciiTheme="majorBidi" w:eastAsia="Times New Roman" w:hAnsiTheme="majorBidi" w:cstheme="majorBidi"/>
                <w:b/>
                <w:bCs/>
                <w:lang w:eastAsia="fr-FR"/>
              </w:rPr>
            </w:pPr>
            <w:r>
              <w:rPr>
                <w:rFonts w:asciiTheme="majorBidi" w:eastAsia="Times New Roman" w:hAnsiTheme="majorBidi" w:cstheme="majorBidi"/>
                <w:b/>
                <w:bCs/>
                <w:lang w:eastAsia="fr-FR"/>
              </w:rPr>
              <w:t xml:space="preserve">Montant total TVA (20%) </w:t>
            </w:r>
          </w:p>
        </w:tc>
        <w:tc>
          <w:tcPr>
            <w:tcW w:w="1183" w:type="dxa"/>
          </w:tcPr>
          <w:p w:rsidR="003B5EBC" w:rsidRDefault="003B5EBC">
            <w:pPr>
              <w:rPr>
                <w:rFonts w:ascii="Calisto MT" w:eastAsia="Times New Roman" w:hAnsi="Calisto MT" w:cs="Times New Roman"/>
                <w:lang w:eastAsia="fr-FR"/>
              </w:rPr>
            </w:pPr>
          </w:p>
        </w:tc>
        <w:tc>
          <w:tcPr>
            <w:tcW w:w="1040" w:type="dxa"/>
          </w:tcPr>
          <w:p w:rsidR="003B5EBC" w:rsidRDefault="003B5EBC">
            <w:pPr>
              <w:rPr>
                <w:rFonts w:ascii="Calisto MT" w:eastAsia="Times New Roman" w:hAnsi="Calisto MT" w:cs="Times New Roman"/>
                <w:lang w:eastAsia="fr-FR"/>
              </w:rPr>
            </w:pPr>
          </w:p>
        </w:tc>
      </w:tr>
      <w:tr w:rsidR="003B5EBC">
        <w:trPr>
          <w:trHeight w:val="143"/>
          <w:jc w:val="center"/>
        </w:trPr>
        <w:tc>
          <w:tcPr>
            <w:tcW w:w="0" w:type="auto"/>
            <w:gridSpan w:val="2"/>
            <w:shd w:val="clear" w:color="auto" w:fill="D5DCE4" w:themeFill="text2" w:themeFillTint="33"/>
            <w:vAlign w:val="center"/>
          </w:tcPr>
          <w:p w:rsidR="003B5EBC" w:rsidRDefault="00A1518B">
            <w:pPr>
              <w:rPr>
                <w:rFonts w:asciiTheme="majorBidi" w:eastAsia="Times New Roman" w:hAnsiTheme="majorBidi" w:cstheme="majorBidi"/>
                <w:b/>
                <w:bCs/>
                <w:lang w:eastAsia="fr-FR"/>
              </w:rPr>
            </w:pPr>
            <w:r>
              <w:rPr>
                <w:rFonts w:asciiTheme="majorBidi" w:eastAsia="Times New Roman" w:hAnsiTheme="majorBidi" w:cstheme="majorBidi"/>
                <w:b/>
                <w:bCs/>
                <w:lang w:eastAsia="fr-FR"/>
              </w:rPr>
              <w:t xml:space="preserve">Montant total TTC </w:t>
            </w:r>
          </w:p>
        </w:tc>
        <w:tc>
          <w:tcPr>
            <w:tcW w:w="1183" w:type="dxa"/>
          </w:tcPr>
          <w:p w:rsidR="003B5EBC" w:rsidRDefault="003B5EBC">
            <w:pPr>
              <w:rPr>
                <w:rFonts w:ascii="Calisto MT" w:eastAsia="Times New Roman" w:hAnsi="Calisto MT" w:cs="Times New Roman"/>
                <w:lang w:eastAsia="fr-FR"/>
              </w:rPr>
            </w:pPr>
          </w:p>
        </w:tc>
        <w:tc>
          <w:tcPr>
            <w:tcW w:w="1040" w:type="dxa"/>
          </w:tcPr>
          <w:p w:rsidR="003B5EBC" w:rsidRDefault="003B5EBC">
            <w:pPr>
              <w:rPr>
                <w:rFonts w:ascii="Calisto MT" w:eastAsia="Times New Roman" w:hAnsi="Calisto MT" w:cs="Times New Roman"/>
                <w:lang w:eastAsia="fr-FR"/>
              </w:rPr>
            </w:pPr>
          </w:p>
        </w:tc>
      </w:tr>
    </w:tbl>
    <w:p w:rsidR="003B5EBC" w:rsidRDefault="003B5EBC">
      <w:pPr>
        <w:pStyle w:val="Paragraphedeliste"/>
        <w:rPr>
          <w:rFonts w:ascii="Calisto MT" w:hAnsi="Calisto MT" w:cstheme="majorHAnsi"/>
          <w:b/>
          <w:bCs/>
          <w:sz w:val="24"/>
          <w:szCs w:val="24"/>
        </w:rPr>
      </w:pPr>
    </w:p>
    <w:p w:rsidR="003B5EBC" w:rsidRDefault="003B5EBC">
      <w:pPr>
        <w:pStyle w:val="Paragraphedeliste"/>
        <w:rPr>
          <w:rFonts w:ascii="Calisto MT" w:hAnsi="Calisto MT" w:cstheme="majorHAnsi"/>
          <w:b/>
          <w:bCs/>
          <w:sz w:val="24"/>
          <w:szCs w:val="24"/>
        </w:rPr>
      </w:pPr>
    </w:p>
    <w:p w:rsidR="003B5EBC" w:rsidRDefault="00A1518B">
      <w:pPr>
        <w:pStyle w:val="Paragraphedeliste"/>
        <w:numPr>
          <w:ilvl w:val="0"/>
          <w:numId w:val="47"/>
        </w:numPr>
        <w:rPr>
          <w:rFonts w:ascii="Garamond" w:hAnsi="Garamond" w:cstheme="majorBidi"/>
          <w:b/>
          <w:bCs/>
          <w:sz w:val="26"/>
          <w:szCs w:val="26"/>
        </w:rPr>
      </w:pPr>
      <w:r>
        <w:rPr>
          <w:rFonts w:ascii="Garamond" w:hAnsi="Garamond" w:cstheme="majorBidi"/>
          <w:b/>
          <w:bCs/>
          <w:sz w:val="26"/>
          <w:szCs w:val="26"/>
        </w:rPr>
        <w:t xml:space="preserve">Critères d’évaluation de la consultation : </w:t>
      </w:r>
    </w:p>
    <w:p w:rsidR="003B5EBC" w:rsidRDefault="00A1518B">
      <w:pPr>
        <w:jc w:val="both"/>
        <w:rPr>
          <w:rFonts w:ascii="Garamond" w:hAnsi="Garamond" w:cstheme="majorBidi"/>
          <w:sz w:val="24"/>
          <w:szCs w:val="24"/>
        </w:rPr>
      </w:pPr>
      <w:r>
        <w:rPr>
          <w:rFonts w:ascii="Garamond" w:hAnsi="Garamond" w:cstheme="majorBidi"/>
          <w:sz w:val="24"/>
          <w:szCs w:val="24"/>
        </w:rPr>
        <w:t>L’examen des offres sera effectué par une commission de Consultation désignée à cet effet. La sélection se fera en trois étapes :</w:t>
      </w:r>
    </w:p>
    <w:p w:rsidR="003B5EBC" w:rsidRDefault="00A1518B">
      <w:pPr>
        <w:pStyle w:val="Paragraphedeliste"/>
        <w:numPr>
          <w:ilvl w:val="0"/>
          <w:numId w:val="48"/>
        </w:numPr>
        <w:spacing w:before="120" w:after="120" w:line="240" w:lineRule="auto"/>
        <w:ind w:left="357" w:hanging="357"/>
        <w:contextualSpacing w:val="0"/>
        <w:jc w:val="both"/>
        <w:rPr>
          <w:rFonts w:ascii="Garamond" w:hAnsi="Garamond" w:cstheme="majorBidi"/>
          <w:sz w:val="24"/>
          <w:szCs w:val="24"/>
        </w:rPr>
      </w:pPr>
      <w:r>
        <w:rPr>
          <w:rFonts w:ascii="Garamond" w:hAnsi="Garamond" w:cstheme="majorBidi"/>
          <w:b/>
          <w:bCs/>
          <w:sz w:val="24"/>
          <w:szCs w:val="24"/>
        </w:rPr>
        <w:t>Etape 1 :</w:t>
      </w:r>
      <w:r>
        <w:rPr>
          <w:rFonts w:ascii="Garamond" w:hAnsi="Garamond" w:cstheme="majorBidi"/>
          <w:sz w:val="24"/>
          <w:szCs w:val="24"/>
        </w:rPr>
        <w:t xml:space="preserve"> Vérification des dossiers administratifs des concurrents ;</w:t>
      </w:r>
    </w:p>
    <w:p w:rsidR="003B5EBC" w:rsidRDefault="00A1518B">
      <w:pPr>
        <w:pStyle w:val="Paragraphedeliste"/>
        <w:numPr>
          <w:ilvl w:val="0"/>
          <w:numId w:val="48"/>
        </w:numPr>
        <w:spacing w:before="120" w:after="120" w:line="240" w:lineRule="auto"/>
        <w:ind w:left="357" w:hanging="357"/>
        <w:contextualSpacing w:val="0"/>
        <w:jc w:val="both"/>
        <w:rPr>
          <w:rFonts w:ascii="Garamond" w:hAnsi="Garamond" w:cstheme="majorBidi"/>
          <w:sz w:val="24"/>
          <w:szCs w:val="24"/>
        </w:rPr>
      </w:pPr>
      <w:r>
        <w:rPr>
          <w:rFonts w:ascii="Garamond" w:hAnsi="Garamond" w:cstheme="majorBidi"/>
          <w:b/>
          <w:bCs/>
          <w:sz w:val="24"/>
          <w:szCs w:val="24"/>
        </w:rPr>
        <w:t>Etape 2 :</w:t>
      </w:r>
      <w:r>
        <w:rPr>
          <w:rFonts w:ascii="Garamond" w:hAnsi="Garamond" w:cstheme="majorBidi"/>
          <w:sz w:val="24"/>
          <w:szCs w:val="24"/>
        </w:rPr>
        <w:t xml:space="preserve"> Examen et évaluation des offres techniques pour les concurrents retenus au titre de l’Etape 1, une note technique sera attribuée sur la base de « l’Offre technique » ;</w:t>
      </w:r>
    </w:p>
    <w:p w:rsidR="003B5EBC" w:rsidRDefault="00A1518B">
      <w:pPr>
        <w:pStyle w:val="Paragraphedeliste"/>
        <w:numPr>
          <w:ilvl w:val="0"/>
          <w:numId w:val="48"/>
        </w:numPr>
        <w:spacing w:before="120" w:after="120" w:line="240" w:lineRule="auto"/>
        <w:ind w:left="357" w:hanging="357"/>
        <w:contextualSpacing w:val="0"/>
        <w:jc w:val="both"/>
        <w:rPr>
          <w:rFonts w:ascii="Garamond" w:hAnsi="Garamond" w:cstheme="majorBidi"/>
          <w:sz w:val="24"/>
          <w:szCs w:val="24"/>
        </w:rPr>
      </w:pPr>
      <w:r>
        <w:rPr>
          <w:rFonts w:ascii="Garamond" w:hAnsi="Garamond" w:cstheme="majorBidi"/>
          <w:b/>
          <w:bCs/>
          <w:sz w:val="24"/>
          <w:szCs w:val="24"/>
        </w:rPr>
        <w:t>Etape 3 :</w:t>
      </w:r>
      <w:r>
        <w:rPr>
          <w:rFonts w:ascii="Garamond" w:hAnsi="Garamond" w:cstheme="majorBidi"/>
          <w:sz w:val="24"/>
          <w:szCs w:val="24"/>
        </w:rPr>
        <w:t xml:space="preserve"> Évaluation financière sur la base de « l’offre financière » pour les concurrents retenus au titre de l’Etape 2.</w:t>
      </w:r>
    </w:p>
    <w:p w:rsidR="003B5EBC" w:rsidRDefault="003B5EBC">
      <w:pPr>
        <w:pStyle w:val="Paragraphedeliste"/>
        <w:ind w:left="0"/>
        <w:jc w:val="both"/>
        <w:rPr>
          <w:rFonts w:ascii="Calisto MT" w:hAnsi="Calisto MT" w:cstheme="majorHAnsi"/>
          <w:sz w:val="24"/>
          <w:szCs w:val="24"/>
        </w:rPr>
      </w:pPr>
    </w:p>
    <w:p w:rsidR="003B5EBC" w:rsidRDefault="00A1518B">
      <w:pPr>
        <w:jc w:val="both"/>
        <w:rPr>
          <w:rFonts w:ascii="Garamond" w:hAnsi="Garamond" w:cstheme="majorBidi"/>
          <w:color w:val="1F4E79" w:themeColor="accent1" w:themeShade="80"/>
          <w:sz w:val="24"/>
          <w:szCs w:val="24"/>
          <w:u w:val="single"/>
        </w:rPr>
      </w:pPr>
      <w:r>
        <w:rPr>
          <w:rFonts w:ascii="Garamond" w:hAnsi="Garamond" w:cstheme="majorBidi"/>
          <w:color w:val="1F4E79" w:themeColor="accent1" w:themeShade="80"/>
          <w:sz w:val="24"/>
          <w:szCs w:val="24"/>
          <w:u w:val="single"/>
        </w:rPr>
        <w:t>Etape 1 : Vérification des dossiers administratifs et techniques des concurrents</w:t>
      </w:r>
    </w:p>
    <w:p w:rsidR="003B5EBC" w:rsidRDefault="00A1518B">
      <w:pPr>
        <w:jc w:val="both"/>
        <w:rPr>
          <w:rFonts w:ascii="Garamond" w:hAnsi="Garamond" w:cstheme="majorBidi"/>
          <w:sz w:val="24"/>
          <w:szCs w:val="24"/>
        </w:rPr>
      </w:pPr>
      <w:r>
        <w:rPr>
          <w:rFonts w:ascii="Garamond" w:hAnsi="Garamond" w:cstheme="majorBidi"/>
          <w:sz w:val="24"/>
          <w:szCs w:val="24"/>
        </w:rPr>
        <w:t>Les offres dont les dossiers administratifs et techniques sont incomplets seront rejetées.</w:t>
      </w:r>
    </w:p>
    <w:p w:rsidR="003B5EBC" w:rsidRDefault="00A1518B">
      <w:pPr>
        <w:jc w:val="both"/>
        <w:rPr>
          <w:rFonts w:ascii="Garamond" w:hAnsi="Garamond" w:cstheme="majorBidi"/>
          <w:color w:val="1F4E79" w:themeColor="accent1" w:themeShade="80"/>
          <w:sz w:val="24"/>
          <w:szCs w:val="24"/>
          <w:u w:val="single"/>
        </w:rPr>
      </w:pPr>
      <w:r>
        <w:rPr>
          <w:rFonts w:ascii="Garamond" w:hAnsi="Garamond" w:cstheme="majorBidi"/>
          <w:color w:val="1F4E79" w:themeColor="accent1" w:themeShade="80"/>
          <w:sz w:val="24"/>
          <w:szCs w:val="24"/>
          <w:u w:val="single"/>
        </w:rPr>
        <w:t>Etape 2 : Examen et évaluation des offres techniques</w:t>
      </w:r>
    </w:p>
    <w:p w:rsidR="003B5EBC" w:rsidRDefault="00A1518B">
      <w:pPr>
        <w:pStyle w:val="Paragraphedeliste"/>
        <w:ind w:left="0"/>
        <w:jc w:val="both"/>
        <w:rPr>
          <w:rFonts w:ascii="Garamond" w:hAnsi="Garamond" w:cstheme="majorBidi"/>
          <w:sz w:val="24"/>
          <w:szCs w:val="24"/>
        </w:rPr>
      </w:pPr>
      <w:r>
        <w:rPr>
          <w:rFonts w:ascii="Garamond" w:hAnsi="Garamond" w:cstheme="majorBidi"/>
          <w:sz w:val="24"/>
          <w:szCs w:val="24"/>
        </w:rPr>
        <w:t>Chaque offre technique relative à un dossier accepté au titre de l’étape 1 sera évaluée et une notation technique (</w:t>
      </w:r>
      <w:r>
        <w:rPr>
          <w:rFonts w:ascii="Garamond" w:hAnsi="Garamond" w:cstheme="majorBidi"/>
          <w:b/>
          <w:bCs/>
          <w:sz w:val="24"/>
          <w:szCs w:val="24"/>
        </w:rPr>
        <w:t>Nt</w:t>
      </w:r>
      <w:r>
        <w:rPr>
          <w:rFonts w:ascii="Garamond" w:hAnsi="Garamond" w:cstheme="majorBidi"/>
          <w:sz w:val="24"/>
          <w:szCs w:val="24"/>
        </w:rPr>
        <w:t>) lui sera attribuée en se basant sur la répartition suivante :</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8"/>
        <w:gridCol w:w="1623"/>
      </w:tblGrid>
      <w:tr w:rsidR="003B5EBC">
        <w:trPr>
          <w:trHeight w:val="465"/>
          <w:jc w:val="center"/>
        </w:trPr>
        <w:tc>
          <w:tcPr>
            <w:tcW w:w="8578" w:type="dxa"/>
            <w:shd w:val="clear" w:color="auto" w:fill="D9D9D9"/>
            <w:vAlign w:val="center"/>
          </w:tcPr>
          <w:p w:rsidR="003B5EBC" w:rsidRDefault="00A1518B">
            <w:pPr>
              <w:jc w:val="center"/>
              <w:rPr>
                <w:rFonts w:ascii="Garamond" w:hAnsi="Garamond" w:cstheme="majorBidi"/>
                <w:b/>
                <w:color w:val="000000"/>
                <w:sz w:val="24"/>
                <w:szCs w:val="24"/>
              </w:rPr>
            </w:pPr>
            <w:r>
              <w:rPr>
                <w:rFonts w:ascii="Garamond" w:hAnsi="Garamond" w:cstheme="majorBidi"/>
                <w:b/>
                <w:color w:val="000000"/>
                <w:sz w:val="24"/>
                <w:szCs w:val="24"/>
              </w:rPr>
              <w:t>Critères de l’évaluation technique</w:t>
            </w:r>
          </w:p>
        </w:tc>
        <w:tc>
          <w:tcPr>
            <w:tcW w:w="1623" w:type="dxa"/>
            <w:shd w:val="clear" w:color="auto" w:fill="D9D9D9"/>
            <w:vAlign w:val="center"/>
          </w:tcPr>
          <w:p w:rsidR="003B5EBC" w:rsidRDefault="00A1518B">
            <w:pPr>
              <w:jc w:val="center"/>
              <w:rPr>
                <w:rFonts w:ascii="Garamond" w:hAnsi="Garamond" w:cstheme="majorBidi"/>
                <w:b/>
                <w:color w:val="000000"/>
                <w:sz w:val="24"/>
                <w:szCs w:val="24"/>
              </w:rPr>
            </w:pPr>
            <w:r>
              <w:rPr>
                <w:rFonts w:ascii="Garamond" w:hAnsi="Garamond" w:cstheme="majorBidi"/>
                <w:b/>
                <w:color w:val="000000"/>
                <w:sz w:val="24"/>
                <w:szCs w:val="24"/>
              </w:rPr>
              <w:t>Points</w:t>
            </w:r>
          </w:p>
        </w:tc>
      </w:tr>
      <w:tr w:rsidR="003B5EBC">
        <w:trPr>
          <w:trHeight w:val="1291"/>
          <w:jc w:val="center"/>
        </w:trPr>
        <w:tc>
          <w:tcPr>
            <w:tcW w:w="8578" w:type="dxa"/>
            <w:shd w:val="clear" w:color="auto" w:fill="FFFFFF"/>
          </w:tcPr>
          <w:p w:rsidR="003B5EBC" w:rsidRDefault="00A1518B">
            <w:pPr>
              <w:jc w:val="both"/>
              <w:rPr>
                <w:rFonts w:ascii="Garamond" w:hAnsi="Garamond" w:cstheme="majorBidi"/>
                <w:b/>
                <w:color w:val="000000"/>
                <w:sz w:val="24"/>
                <w:szCs w:val="24"/>
              </w:rPr>
            </w:pPr>
            <w:r>
              <w:rPr>
                <w:rFonts w:ascii="Garamond" w:hAnsi="Garamond" w:cstheme="majorBidi"/>
                <w:b/>
                <w:color w:val="000000"/>
                <w:sz w:val="24"/>
                <w:szCs w:val="24"/>
              </w:rPr>
              <w:t xml:space="preserve">Démarche méthodologique </w:t>
            </w:r>
          </w:p>
          <w:p w:rsidR="003B5EBC" w:rsidRDefault="00A1518B">
            <w:pPr>
              <w:spacing w:before="120" w:after="120" w:line="240" w:lineRule="auto"/>
              <w:jc w:val="both"/>
              <w:rPr>
                <w:rFonts w:ascii="Calisto MT" w:hAnsi="Calisto MT" w:cstheme="majorHAnsi"/>
                <w:color w:val="000000"/>
              </w:rPr>
            </w:pPr>
            <w:r>
              <w:rPr>
                <w:rFonts w:ascii="Calisto MT" w:hAnsi="Calisto MT" w:cstheme="majorHAnsi"/>
                <w:color w:val="000000"/>
              </w:rPr>
              <w:t>Méthodologie non conforme, ne répondant pas aux termes de référence : 0 point</w:t>
            </w:r>
          </w:p>
          <w:p w:rsidR="003B5EBC" w:rsidRDefault="00A1518B">
            <w:pPr>
              <w:jc w:val="both"/>
              <w:rPr>
                <w:rFonts w:ascii="Garamond" w:hAnsi="Garamond" w:cstheme="majorBidi"/>
                <w:color w:val="000000"/>
                <w:sz w:val="24"/>
                <w:szCs w:val="24"/>
              </w:rPr>
            </w:pPr>
            <w:r>
              <w:rPr>
                <w:rFonts w:ascii="Garamond" w:hAnsi="Garamond" w:cstheme="majorBidi"/>
                <w:color w:val="000000"/>
                <w:sz w:val="24"/>
                <w:szCs w:val="24"/>
              </w:rPr>
              <w:t xml:space="preserve">Méthodologie répondant </w:t>
            </w:r>
            <w:r>
              <w:rPr>
                <w:rFonts w:ascii="Garamond" w:hAnsi="Garamond" w:cstheme="majorBidi"/>
                <w:color w:val="000000"/>
                <w:sz w:val="24"/>
                <w:szCs w:val="24"/>
                <w:lang w:val="fr-FR"/>
              </w:rPr>
              <w:t xml:space="preserve">strictement </w:t>
            </w:r>
            <w:r>
              <w:rPr>
                <w:rFonts w:ascii="Garamond" w:hAnsi="Garamond" w:cstheme="majorBidi"/>
                <w:color w:val="000000"/>
                <w:sz w:val="24"/>
                <w:szCs w:val="24"/>
              </w:rPr>
              <w:t>aux termes de référence : 20 points</w:t>
            </w:r>
          </w:p>
          <w:p w:rsidR="003B5EBC" w:rsidRDefault="00A1518B">
            <w:pPr>
              <w:ind w:left="32"/>
              <w:jc w:val="both"/>
              <w:rPr>
                <w:rFonts w:ascii="Garamond" w:hAnsi="Garamond" w:cstheme="majorBidi"/>
                <w:color w:val="000000"/>
                <w:sz w:val="24"/>
                <w:szCs w:val="24"/>
              </w:rPr>
            </w:pPr>
            <w:r>
              <w:rPr>
                <w:rFonts w:ascii="Garamond" w:hAnsi="Garamond" w:cstheme="majorBidi"/>
                <w:color w:val="000000"/>
                <w:sz w:val="24"/>
                <w:szCs w:val="24"/>
              </w:rPr>
              <w:t>Méthodologie améliorée par rapport aux termes de référence (innovante avec un apport substantiel) : 30 points</w:t>
            </w:r>
          </w:p>
        </w:tc>
        <w:tc>
          <w:tcPr>
            <w:tcW w:w="1623" w:type="dxa"/>
            <w:shd w:val="clear" w:color="auto" w:fill="FFFFFF"/>
            <w:vAlign w:val="center"/>
          </w:tcPr>
          <w:p w:rsidR="003B5EBC" w:rsidRDefault="00A1518B">
            <w:pPr>
              <w:jc w:val="center"/>
              <w:rPr>
                <w:rFonts w:ascii="Garamond" w:hAnsi="Garamond" w:cstheme="majorBidi"/>
                <w:b/>
                <w:color w:val="000000"/>
                <w:sz w:val="24"/>
                <w:szCs w:val="24"/>
              </w:rPr>
            </w:pPr>
            <w:r>
              <w:rPr>
                <w:rFonts w:ascii="Garamond" w:hAnsi="Garamond" w:cstheme="majorBidi"/>
                <w:color w:val="000000"/>
                <w:sz w:val="24"/>
                <w:szCs w:val="24"/>
              </w:rPr>
              <w:t>30</w:t>
            </w:r>
          </w:p>
        </w:tc>
      </w:tr>
      <w:tr w:rsidR="003B5EBC">
        <w:trPr>
          <w:trHeight w:val="370"/>
          <w:jc w:val="center"/>
        </w:trPr>
        <w:tc>
          <w:tcPr>
            <w:tcW w:w="8578" w:type="dxa"/>
            <w:shd w:val="clear" w:color="auto" w:fill="FFFFFF"/>
          </w:tcPr>
          <w:p w:rsidR="003B5EBC" w:rsidRDefault="00A1518B">
            <w:pPr>
              <w:jc w:val="center"/>
              <w:rPr>
                <w:rFonts w:ascii="Garamond" w:hAnsi="Garamond" w:cstheme="majorBidi"/>
                <w:b/>
                <w:color w:val="000000"/>
                <w:sz w:val="24"/>
                <w:szCs w:val="24"/>
              </w:rPr>
            </w:pPr>
            <w:r>
              <w:rPr>
                <w:rFonts w:ascii="Garamond" w:hAnsi="Garamond" w:cstheme="majorBidi"/>
                <w:b/>
                <w:color w:val="000000"/>
                <w:sz w:val="24"/>
                <w:szCs w:val="24"/>
              </w:rPr>
              <w:t>Total (C1)</w:t>
            </w:r>
          </w:p>
        </w:tc>
        <w:tc>
          <w:tcPr>
            <w:tcW w:w="1623" w:type="dxa"/>
            <w:shd w:val="clear" w:color="auto" w:fill="FFFFFF"/>
            <w:vAlign w:val="center"/>
          </w:tcPr>
          <w:p w:rsidR="003B5EBC" w:rsidRDefault="00A1518B">
            <w:pPr>
              <w:jc w:val="center"/>
              <w:rPr>
                <w:rFonts w:ascii="Garamond" w:hAnsi="Garamond" w:cstheme="majorBidi"/>
                <w:color w:val="000000"/>
                <w:sz w:val="24"/>
                <w:szCs w:val="24"/>
              </w:rPr>
            </w:pPr>
            <w:r>
              <w:rPr>
                <w:rFonts w:ascii="Garamond" w:hAnsi="Garamond" w:cstheme="majorBidi"/>
                <w:color w:val="000000"/>
                <w:sz w:val="24"/>
                <w:szCs w:val="24"/>
              </w:rPr>
              <w:t>.../30</w:t>
            </w:r>
          </w:p>
        </w:tc>
      </w:tr>
    </w:tbl>
    <w:p w:rsidR="003B5EBC" w:rsidRDefault="003B5EBC">
      <w:pPr>
        <w:pStyle w:val="Paragraphedeliste"/>
        <w:ind w:left="0"/>
        <w:jc w:val="both"/>
        <w:rPr>
          <w:rFonts w:ascii="Garamond" w:hAnsi="Garamond" w:cstheme="majorHAnsi"/>
          <w:sz w:val="24"/>
          <w:szCs w:val="24"/>
        </w:rPr>
      </w:pPr>
    </w:p>
    <w:tbl>
      <w:tblPr>
        <w:tblStyle w:val="Grilledutableau"/>
        <w:tblW w:w="10658" w:type="dxa"/>
        <w:tblInd w:w="-289" w:type="dxa"/>
        <w:tblLayout w:type="fixed"/>
        <w:tblLook w:val="04A0" w:firstRow="1" w:lastRow="0" w:firstColumn="1" w:lastColumn="0" w:noHBand="0" w:noVBand="1"/>
      </w:tblPr>
      <w:tblGrid>
        <w:gridCol w:w="2127"/>
        <w:gridCol w:w="5812"/>
        <w:gridCol w:w="992"/>
        <w:gridCol w:w="14"/>
        <w:gridCol w:w="1692"/>
        <w:gridCol w:w="14"/>
        <w:gridCol w:w="7"/>
      </w:tblGrid>
      <w:tr w:rsidR="003B5EBC">
        <w:trPr>
          <w:gridAfter w:val="2"/>
          <w:wAfter w:w="21" w:type="dxa"/>
        </w:trPr>
        <w:tc>
          <w:tcPr>
            <w:tcW w:w="2127" w:type="dxa"/>
            <w:shd w:val="clear" w:color="auto" w:fill="BFBFBF" w:themeFill="background1" w:themeFillShade="BF"/>
            <w:vAlign w:val="center"/>
          </w:tcPr>
          <w:p w:rsidR="003B5EBC" w:rsidRDefault="00A1518B">
            <w:pPr>
              <w:pStyle w:val="TableParagraph"/>
              <w:ind w:left="34" w:hanging="113"/>
              <w:jc w:val="center"/>
              <w:rPr>
                <w:rFonts w:ascii="Garamond" w:eastAsiaTheme="minorHAnsi" w:hAnsi="Garamond" w:cstheme="majorBidi"/>
                <w:b/>
                <w:bCs/>
                <w:color w:val="000000"/>
                <w:sz w:val="24"/>
                <w:szCs w:val="24"/>
                <w:lang w:val="zh-CN"/>
              </w:rPr>
            </w:pPr>
            <w:r>
              <w:rPr>
                <w:rFonts w:ascii="Garamond" w:eastAsiaTheme="minorHAnsi" w:hAnsi="Garamond" w:cstheme="majorBidi"/>
                <w:b/>
                <w:bCs/>
                <w:color w:val="000000"/>
                <w:sz w:val="24"/>
                <w:szCs w:val="24"/>
                <w:lang w:val="zh-CN"/>
              </w:rPr>
              <w:t xml:space="preserve">Qualité de l’équipe proposée pour la réalisation de l’étude </w:t>
            </w:r>
          </w:p>
        </w:tc>
        <w:tc>
          <w:tcPr>
            <w:tcW w:w="5812" w:type="dxa"/>
            <w:shd w:val="clear" w:color="auto" w:fill="BFBFBF" w:themeFill="background1" w:themeFillShade="BF"/>
            <w:vAlign w:val="center"/>
          </w:tcPr>
          <w:p w:rsidR="003B5EBC" w:rsidRDefault="00A1518B">
            <w:pPr>
              <w:pStyle w:val="TableParagraph"/>
              <w:spacing w:before="133"/>
              <w:ind w:left="372" w:right="49" w:hanging="296"/>
              <w:jc w:val="center"/>
              <w:rPr>
                <w:rFonts w:ascii="Garamond" w:eastAsiaTheme="minorHAnsi" w:hAnsi="Garamond" w:cstheme="majorBidi"/>
                <w:b/>
                <w:bCs/>
                <w:color w:val="000000"/>
                <w:sz w:val="24"/>
                <w:szCs w:val="24"/>
                <w:lang w:val="zh-CN"/>
              </w:rPr>
            </w:pPr>
            <w:r>
              <w:rPr>
                <w:rFonts w:ascii="Garamond" w:eastAsiaTheme="minorHAnsi" w:hAnsi="Garamond" w:cstheme="majorBidi"/>
                <w:b/>
                <w:bCs/>
                <w:color w:val="000000"/>
                <w:sz w:val="24"/>
                <w:szCs w:val="24"/>
                <w:lang w:val="en-US"/>
              </w:rPr>
              <w:t>Critère d'évaluation</w:t>
            </w:r>
          </w:p>
        </w:tc>
        <w:tc>
          <w:tcPr>
            <w:tcW w:w="992" w:type="dxa"/>
            <w:shd w:val="clear" w:color="auto" w:fill="BFBFBF" w:themeFill="background1" w:themeFillShade="BF"/>
            <w:vAlign w:val="center"/>
          </w:tcPr>
          <w:p w:rsidR="003B5EBC" w:rsidRDefault="003B5EBC">
            <w:pPr>
              <w:pStyle w:val="TableParagraph"/>
              <w:spacing w:before="8"/>
              <w:jc w:val="center"/>
              <w:rPr>
                <w:rFonts w:ascii="Garamond" w:eastAsiaTheme="minorHAnsi" w:hAnsi="Garamond" w:cstheme="majorBidi"/>
                <w:b/>
                <w:bCs/>
                <w:color w:val="000000"/>
                <w:sz w:val="24"/>
                <w:szCs w:val="24"/>
                <w:lang w:val="zh-CN"/>
              </w:rPr>
            </w:pPr>
          </w:p>
          <w:p w:rsidR="003B5EBC" w:rsidRDefault="00A1518B">
            <w:pPr>
              <w:pStyle w:val="TableParagraph"/>
              <w:ind w:left="89" w:hanging="89"/>
              <w:jc w:val="center"/>
              <w:rPr>
                <w:rFonts w:ascii="Garamond" w:eastAsiaTheme="minorHAnsi" w:hAnsi="Garamond" w:cstheme="majorBidi"/>
                <w:b/>
                <w:bCs/>
                <w:color w:val="000000"/>
                <w:sz w:val="24"/>
                <w:szCs w:val="24"/>
                <w:lang w:val="zh-CN"/>
              </w:rPr>
            </w:pPr>
            <w:r>
              <w:rPr>
                <w:rFonts w:ascii="Garamond" w:eastAsiaTheme="minorHAnsi" w:hAnsi="Garamond" w:cstheme="majorBidi"/>
                <w:b/>
                <w:bCs/>
                <w:color w:val="000000"/>
                <w:sz w:val="24"/>
                <w:szCs w:val="24"/>
                <w:lang w:val="zh-CN"/>
              </w:rPr>
              <w:t>Points</w:t>
            </w:r>
          </w:p>
        </w:tc>
        <w:tc>
          <w:tcPr>
            <w:tcW w:w="1706" w:type="dxa"/>
            <w:gridSpan w:val="2"/>
            <w:shd w:val="clear" w:color="auto" w:fill="BFBFBF" w:themeFill="background1" w:themeFillShade="BF"/>
            <w:vAlign w:val="center"/>
          </w:tcPr>
          <w:p w:rsidR="003B5EBC" w:rsidRDefault="003B5EBC">
            <w:pPr>
              <w:pStyle w:val="TableParagraph"/>
              <w:spacing w:before="8"/>
              <w:jc w:val="center"/>
              <w:rPr>
                <w:rFonts w:ascii="Garamond" w:eastAsiaTheme="minorHAnsi" w:hAnsi="Garamond" w:cstheme="majorBidi"/>
                <w:b/>
                <w:bCs/>
                <w:color w:val="000000"/>
                <w:sz w:val="24"/>
                <w:szCs w:val="24"/>
                <w:lang w:val="zh-CN"/>
              </w:rPr>
            </w:pPr>
          </w:p>
          <w:p w:rsidR="003B5EBC" w:rsidRDefault="00A1518B">
            <w:pPr>
              <w:pStyle w:val="TableParagraph"/>
              <w:ind w:left="179"/>
              <w:jc w:val="center"/>
              <w:rPr>
                <w:rFonts w:ascii="Garamond" w:eastAsiaTheme="minorHAnsi" w:hAnsi="Garamond" w:cstheme="majorBidi"/>
                <w:b/>
                <w:bCs/>
                <w:color w:val="000000"/>
                <w:sz w:val="24"/>
                <w:szCs w:val="24"/>
                <w:lang w:val="zh-CN"/>
              </w:rPr>
            </w:pPr>
            <w:r>
              <w:rPr>
                <w:rFonts w:ascii="Garamond" w:eastAsiaTheme="minorHAnsi" w:hAnsi="Garamond" w:cstheme="majorBidi"/>
                <w:b/>
                <w:bCs/>
                <w:color w:val="000000"/>
                <w:sz w:val="24"/>
                <w:szCs w:val="24"/>
                <w:lang w:val="zh-CN"/>
              </w:rPr>
              <w:t>Document de base</w:t>
            </w:r>
          </w:p>
        </w:tc>
      </w:tr>
      <w:tr w:rsidR="003B5EBC">
        <w:trPr>
          <w:gridAfter w:val="2"/>
          <w:wAfter w:w="21" w:type="dxa"/>
          <w:trHeight w:val="147"/>
        </w:trPr>
        <w:tc>
          <w:tcPr>
            <w:tcW w:w="2127" w:type="dxa"/>
            <w:vMerge w:val="restart"/>
          </w:tcPr>
          <w:p w:rsidR="003B5EBC" w:rsidRDefault="00A1518B">
            <w:pPr>
              <w:pStyle w:val="TableParagraph"/>
              <w:tabs>
                <w:tab w:val="left" w:pos="322"/>
              </w:tabs>
              <w:spacing w:before="120" w:after="120"/>
              <w:ind w:right="179"/>
              <w:rPr>
                <w:rFonts w:ascii="Garamond" w:eastAsiaTheme="minorHAnsi" w:hAnsi="Garamond" w:cstheme="majorHAnsi"/>
                <w:b/>
                <w:bCs/>
                <w:color w:val="000000"/>
                <w:sz w:val="24"/>
                <w:szCs w:val="24"/>
                <w:lang w:val="zh-CN"/>
              </w:rPr>
            </w:pPr>
            <w:r>
              <w:rPr>
                <w:rFonts w:ascii="Garamond" w:eastAsiaTheme="minorHAnsi" w:hAnsi="Garamond" w:cstheme="majorHAnsi"/>
                <w:b/>
                <w:bCs/>
                <w:color w:val="1F4E79" w:themeColor="accent1" w:themeShade="80"/>
                <w:sz w:val="24"/>
                <w:szCs w:val="24"/>
                <w:lang w:val="zh-CN"/>
              </w:rPr>
              <w:t xml:space="preserve">Consultant en architecture des systèmes d’information </w:t>
            </w:r>
            <w:r>
              <w:rPr>
                <w:rFonts w:ascii="Garamond" w:eastAsiaTheme="minorHAnsi" w:hAnsi="Garamond" w:cstheme="majorHAnsi"/>
                <w:b/>
                <w:bCs/>
                <w:color w:val="1F4E79" w:themeColor="accent1" w:themeShade="80"/>
                <w:sz w:val="24"/>
                <w:szCs w:val="24"/>
                <w:lang w:val="zh-CN"/>
              </w:rPr>
              <w:lastRenderedPageBreak/>
              <w:t>avec une expertise en gestion des plateformes électroniques et des bases de données</w:t>
            </w:r>
          </w:p>
        </w:tc>
        <w:tc>
          <w:tcPr>
            <w:tcW w:w="5812" w:type="dxa"/>
            <w:vAlign w:val="center"/>
          </w:tcPr>
          <w:p w:rsidR="003B5EBC" w:rsidRDefault="003B5EBC">
            <w:pPr>
              <w:pStyle w:val="TableParagraph"/>
              <w:rPr>
                <w:rFonts w:ascii="Garamond" w:eastAsiaTheme="minorHAnsi" w:hAnsi="Garamond" w:cstheme="majorHAnsi"/>
                <w:color w:val="000000"/>
                <w:sz w:val="24"/>
                <w:szCs w:val="24"/>
                <w:lang w:val="zh-CN"/>
              </w:rPr>
            </w:pPr>
          </w:p>
          <w:p w:rsidR="003B5EBC" w:rsidRDefault="00A1518B">
            <w:pPr>
              <w:pStyle w:val="TableParagraph"/>
              <w:ind w:right="-308"/>
              <w:rPr>
                <w:rFonts w:ascii="Garamond" w:eastAsiaTheme="minorHAnsi" w:hAnsi="Garamond" w:cstheme="majorHAnsi"/>
                <w:color w:val="000000"/>
                <w:sz w:val="24"/>
                <w:szCs w:val="24"/>
                <w:lang w:val="zh-CN"/>
              </w:rPr>
            </w:pPr>
            <w:r>
              <w:rPr>
                <w:rFonts w:ascii="Garamond" w:eastAsiaTheme="minorHAnsi" w:hAnsi="Garamond" w:cstheme="majorHAnsi"/>
                <w:b/>
                <w:bCs/>
                <w:color w:val="000000"/>
                <w:sz w:val="24"/>
                <w:szCs w:val="24"/>
                <w:lang w:val="zh-CN"/>
              </w:rPr>
              <w:t>Formation académique :</w:t>
            </w:r>
            <w:r>
              <w:rPr>
                <w:rFonts w:ascii="Garamond" w:eastAsiaTheme="minorHAnsi" w:hAnsi="Garamond" w:cstheme="majorHAnsi"/>
                <w:color w:val="000000"/>
                <w:sz w:val="24"/>
                <w:szCs w:val="24"/>
                <w:lang w:val="zh-CN"/>
              </w:rPr>
              <w:t xml:space="preserve"> Diplôme en systèmes d’information, génie logiciel, informatique ou équivalent.</w:t>
            </w:r>
          </w:p>
          <w:p w:rsidR="003B5EBC" w:rsidRDefault="003B5EBC">
            <w:pPr>
              <w:pStyle w:val="TableParagraph"/>
              <w:ind w:right="-308"/>
              <w:rPr>
                <w:rFonts w:ascii="Garamond" w:eastAsiaTheme="minorHAnsi" w:hAnsi="Garamond" w:cstheme="majorHAnsi"/>
                <w:color w:val="000000"/>
                <w:sz w:val="24"/>
                <w:szCs w:val="24"/>
                <w:lang w:val="zh-CN"/>
              </w:rPr>
            </w:pPr>
          </w:p>
        </w:tc>
        <w:tc>
          <w:tcPr>
            <w:tcW w:w="992" w:type="dxa"/>
            <w:vAlign w:val="center"/>
          </w:tcPr>
          <w:p w:rsidR="003B5EBC" w:rsidRDefault="00A1518B">
            <w:pPr>
              <w:pStyle w:val="TableParagraph"/>
              <w:tabs>
                <w:tab w:val="left" w:pos="186"/>
              </w:tabs>
              <w:ind w:left="113" w:right="317"/>
              <w:jc w:val="center"/>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5</w:t>
            </w:r>
          </w:p>
        </w:tc>
        <w:tc>
          <w:tcPr>
            <w:tcW w:w="1706" w:type="dxa"/>
            <w:gridSpan w:val="2"/>
            <w:vMerge w:val="restart"/>
          </w:tcPr>
          <w:p w:rsidR="003B5EBC" w:rsidRDefault="00A1518B">
            <w:pPr>
              <w:pStyle w:val="TableParagraph"/>
              <w:numPr>
                <w:ilvl w:val="0"/>
                <w:numId w:val="49"/>
              </w:numPr>
              <w:tabs>
                <w:tab w:val="left" w:pos="186"/>
              </w:tabs>
              <w:spacing w:before="89" w:line="277" w:lineRule="exact"/>
              <w:ind w:hanging="11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CV</w:t>
            </w:r>
          </w:p>
          <w:p w:rsidR="003B5EBC" w:rsidRDefault="00A1518B">
            <w:pPr>
              <w:pStyle w:val="TableParagraph"/>
              <w:numPr>
                <w:ilvl w:val="0"/>
                <w:numId w:val="49"/>
              </w:numPr>
              <w:tabs>
                <w:tab w:val="left" w:pos="186"/>
              </w:tabs>
              <w:ind w:right="17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 xml:space="preserve">Diplôme </w:t>
            </w:r>
          </w:p>
          <w:p w:rsidR="003B5EBC" w:rsidRDefault="00A1518B">
            <w:pPr>
              <w:pStyle w:val="TableParagraph"/>
              <w:numPr>
                <w:ilvl w:val="0"/>
                <w:numId w:val="49"/>
              </w:numPr>
              <w:tabs>
                <w:tab w:val="left" w:pos="186"/>
              </w:tabs>
              <w:ind w:right="17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Références</w:t>
            </w:r>
          </w:p>
          <w:p w:rsidR="003B5EBC" w:rsidRDefault="00A1518B">
            <w:pPr>
              <w:pStyle w:val="TableParagraph"/>
              <w:numPr>
                <w:ilvl w:val="0"/>
                <w:numId w:val="49"/>
              </w:numPr>
              <w:tabs>
                <w:tab w:val="left" w:pos="186"/>
              </w:tabs>
              <w:ind w:right="17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Attestations</w:t>
            </w:r>
          </w:p>
          <w:p w:rsidR="003B5EBC" w:rsidRDefault="003B5EBC">
            <w:pPr>
              <w:pStyle w:val="TableParagraph"/>
              <w:spacing w:before="26"/>
              <w:ind w:left="113"/>
              <w:rPr>
                <w:rFonts w:ascii="Garamond" w:eastAsiaTheme="minorHAnsi" w:hAnsi="Garamond" w:cstheme="majorHAnsi"/>
                <w:color w:val="000000"/>
                <w:sz w:val="24"/>
                <w:szCs w:val="24"/>
                <w:lang w:val="zh-CN"/>
              </w:rPr>
            </w:pPr>
          </w:p>
        </w:tc>
      </w:tr>
      <w:tr w:rsidR="003B5EBC">
        <w:trPr>
          <w:gridAfter w:val="2"/>
          <w:wAfter w:w="21" w:type="dxa"/>
          <w:trHeight w:val="147"/>
        </w:trPr>
        <w:tc>
          <w:tcPr>
            <w:tcW w:w="2127" w:type="dxa"/>
            <w:vMerge/>
          </w:tcPr>
          <w:p w:rsidR="003B5EBC" w:rsidRDefault="003B5EBC">
            <w:pPr>
              <w:pStyle w:val="TableParagraph"/>
              <w:tabs>
                <w:tab w:val="left" w:pos="322"/>
              </w:tabs>
              <w:spacing w:before="120" w:after="120"/>
              <w:ind w:right="179"/>
              <w:rPr>
                <w:rFonts w:ascii="Garamond" w:hAnsi="Garamond"/>
                <w:color w:val="1F4E79"/>
                <w:sz w:val="24"/>
                <w:szCs w:val="24"/>
              </w:rPr>
            </w:pPr>
          </w:p>
        </w:tc>
        <w:tc>
          <w:tcPr>
            <w:tcW w:w="5812" w:type="dxa"/>
            <w:vAlign w:val="center"/>
          </w:tcPr>
          <w:p w:rsidR="003B5EBC" w:rsidRDefault="003B5EBC">
            <w:pPr>
              <w:pStyle w:val="TableParagraph"/>
              <w:rPr>
                <w:rFonts w:ascii="Garamond" w:hAnsi="Garamond"/>
                <w:sz w:val="24"/>
                <w:szCs w:val="24"/>
              </w:rPr>
            </w:pPr>
          </w:p>
          <w:p w:rsidR="003B5EBC" w:rsidRDefault="00A1518B">
            <w:pPr>
              <w:pStyle w:val="TableParagraph"/>
              <w:rPr>
                <w:rFonts w:ascii="Garamond" w:eastAsiaTheme="minorHAnsi" w:hAnsi="Garamond" w:cstheme="majorHAnsi"/>
                <w:color w:val="000000"/>
                <w:sz w:val="24"/>
                <w:szCs w:val="24"/>
                <w:lang w:val="zh-CN"/>
              </w:rPr>
            </w:pPr>
            <w:r>
              <w:rPr>
                <w:rFonts w:ascii="Garamond" w:eastAsiaTheme="minorHAnsi" w:hAnsi="Garamond" w:cstheme="majorHAnsi"/>
                <w:b/>
                <w:bCs/>
                <w:color w:val="000000"/>
                <w:sz w:val="24"/>
                <w:szCs w:val="24"/>
                <w:lang w:val="zh-CN"/>
              </w:rPr>
              <w:lastRenderedPageBreak/>
              <w:t>Nombre de projets réalisés ou auxquels l’expert a participé</w:t>
            </w:r>
            <w:r>
              <w:rPr>
                <w:rFonts w:ascii="Garamond" w:eastAsiaTheme="minorHAnsi" w:hAnsi="Garamond" w:cstheme="majorHAnsi"/>
                <w:color w:val="000000"/>
                <w:sz w:val="24"/>
                <w:szCs w:val="24"/>
                <w:lang w:val="zh-CN"/>
              </w:rPr>
              <w:t xml:space="preserve">, en lien avec le développement de plateformes électroniques, systèmes d’information, bases de données ou processus électroniques. </w:t>
            </w:r>
            <w:r>
              <w:rPr>
                <w:rFonts w:ascii="Garamond" w:eastAsiaTheme="minorHAnsi" w:hAnsi="Garamond" w:cstheme="majorHAnsi"/>
                <w:color w:val="000000"/>
                <w:sz w:val="24"/>
                <w:szCs w:val="24"/>
                <w:lang w:val="zh-CN"/>
              </w:rPr>
              <w:br/>
              <w:t>• Moins de 3 projets : 0 point.</w:t>
            </w:r>
            <w:r>
              <w:rPr>
                <w:rFonts w:ascii="Garamond" w:eastAsiaTheme="minorHAnsi" w:hAnsi="Garamond" w:cstheme="majorHAnsi"/>
                <w:color w:val="000000"/>
                <w:sz w:val="24"/>
                <w:szCs w:val="24"/>
                <w:lang w:val="zh-CN"/>
              </w:rPr>
              <w:br/>
              <w:t>• 3 projets et plus : 1 point par projet, plafonné à 10 points.</w:t>
            </w:r>
          </w:p>
          <w:p w:rsidR="003B5EBC" w:rsidRDefault="003B5EBC">
            <w:pPr>
              <w:pStyle w:val="TableParagraph"/>
              <w:rPr>
                <w:rFonts w:ascii="Garamond" w:eastAsiaTheme="minorHAnsi" w:hAnsi="Garamond" w:cstheme="majorHAnsi"/>
                <w:color w:val="000000"/>
                <w:sz w:val="24"/>
                <w:szCs w:val="24"/>
                <w:lang w:val="zh-CN"/>
              </w:rPr>
            </w:pPr>
          </w:p>
        </w:tc>
        <w:tc>
          <w:tcPr>
            <w:tcW w:w="992" w:type="dxa"/>
            <w:vAlign w:val="center"/>
          </w:tcPr>
          <w:p w:rsidR="003B5EBC" w:rsidRDefault="00A1518B">
            <w:pPr>
              <w:pStyle w:val="TableParagraph"/>
              <w:tabs>
                <w:tab w:val="left" w:pos="186"/>
              </w:tabs>
              <w:ind w:left="113" w:right="317"/>
              <w:jc w:val="center"/>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lastRenderedPageBreak/>
              <w:t>10</w:t>
            </w:r>
          </w:p>
        </w:tc>
        <w:tc>
          <w:tcPr>
            <w:tcW w:w="1706" w:type="dxa"/>
            <w:gridSpan w:val="2"/>
            <w:vMerge/>
          </w:tcPr>
          <w:p w:rsidR="003B5EBC" w:rsidRDefault="003B5EBC">
            <w:pPr>
              <w:pStyle w:val="TableParagraph"/>
              <w:numPr>
                <w:ilvl w:val="0"/>
                <w:numId w:val="49"/>
              </w:numPr>
              <w:tabs>
                <w:tab w:val="left" w:pos="186"/>
              </w:tabs>
              <w:spacing w:before="89" w:line="277" w:lineRule="exact"/>
              <w:ind w:hanging="114"/>
              <w:rPr>
                <w:rFonts w:ascii="Garamond" w:eastAsiaTheme="minorHAnsi" w:hAnsi="Garamond" w:cstheme="majorHAnsi"/>
                <w:color w:val="000000"/>
                <w:sz w:val="24"/>
                <w:szCs w:val="24"/>
                <w:lang w:val="zh-CN"/>
              </w:rPr>
            </w:pPr>
          </w:p>
        </w:tc>
      </w:tr>
      <w:tr w:rsidR="003B5EBC">
        <w:trPr>
          <w:gridAfter w:val="2"/>
          <w:wAfter w:w="21" w:type="dxa"/>
          <w:trHeight w:val="147"/>
        </w:trPr>
        <w:tc>
          <w:tcPr>
            <w:tcW w:w="2127" w:type="dxa"/>
            <w:vMerge/>
          </w:tcPr>
          <w:p w:rsidR="003B5EBC" w:rsidRDefault="003B5EBC">
            <w:pPr>
              <w:pStyle w:val="TableParagraph"/>
              <w:tabs>
                <w:tab w:val="left" w:pos="322"/>
              </w:tabs>
              <w:spacing w:before="120" w:after="120"/>
              <w:ind w:right="179"/>
              <w:rPr>
                <w:rFonts w:ascii="Garamond" w:hAnsi="Garamond"/>
                <w:color w:val="1F4E79"/>
                <w:sz w:val="24"/>
                <w:szCs w:val="24"/>
              </w:rPr>
            </w:pPr>
          </w:p>
        </w:tc>
        <w:tc>
          <w:tcPr>
            <w:tcW w:w="5812" w:type="dxa"/>
          </w:tcPr>
          <w:p w:rsidR="003B5EBC" w:rsidRDefault="003B5EBC">
            <w:pPr>
              <w:pStyle w:val="TableParagraph"/>
              <w:rPr>
                <w:rFonts w:ascii="Garamond" w:hAnsi="Garamond"/>
                <w:sz w:val="24"/>
                <w:szCs w:val="24"/>
              </w:rPr>
            </w:pPr>
          </w:p>
          <w:p w:rsidR="003B5EBC" w:rsidRDefault="00A1518B">
            <w:pPr>
              <w:pStyle w:val="TableParagraph"/>
              <w:rPr>
                <w:rFonts w:ascii="Garamond" w:eastAsiaTheme="minorHAnsi" w:hAnsi="Garamond" w:cstheme="majorHAnsi"/>
                <w:color w:val="000000"/>
                <w:sz w:val="24"/>
                <w:szCs w:val="24"/>
                <w:lang w:val="zh-CN"/>
              </w:rPr>
            </w:pPr>
            <w:r>
              <w:rPr>
                <w:rFonts w:ascii="Garamond" w:eastAsiaTheme="minorHAnsi" w:hAnsi="Garamond" w:cstheme="majorHAnsi"/>
                <w:b/>
                <w:bCs/>
                <w:color w:val="000000"/>
                <w:sz w:val="24"/>
                <w:szCs w:val="24"/>
                <w:lang w:val="zh-CN"/>
              </w:rPr>
              <w:t>Expérience professionnelle dans l’architecture et le développement de systèmes d’information complexes.</w:t>
            </w:r>
            <w:r>
              <w:rPr>
                <w:rFonts w:ascii="Garamond" w:eastAsiaTheme="minorHAnsi" w:hAnsi="Garamond" w:cstheme="majorHAnsi"/>
                <w:color w:val="000000"/>
                <w:sz w:val="24"/>
                <w:szCs w:val="24"/>
                <w:lang w:val="zh-CN"/>
              </w:rPr>
              <w:t xml:space="preserve"> </w:t>
            </w:r>
            <w:r>
              <w:rPr>
                <w:rFonts w:ascii="Garamond" w:eastAsiaTheme="minorHAnsi" w:hAnsi="Garamond" w:cstheme="majorHAnsi"/>
                <w:color w:val="000000"/>
                <w:sz w:val="24"/>
                <w:szCs w:val="24"/>
                <w:lang w:val="zh-CN"/>
              </w:rPr>
              <w:br/>
              <w:t xml:space="preserve">• Moins de 10 ans : 0 point </w:t>
            </w:r>
            <w:r>
              <w:rPr>
                <w:rFonts w:ascii="Garamond" w:eastAsiaTheme="minorHAnsi" w:hAnsi="Garamond" w:cstheme="majorHAnsi"/>
                <w:color w:val="000000"/>
                <w:sz w:val="24"/>
                <w:szCs w:val="24"/>
                <w:lang w:val="zh-CN"/>
              </w:rPr>
              <w:br/>
              <w:t>• 10 ans et plus : 1 point par année, plafonné à 10 points</w:t>
            </w:r>
          </w:p>
          <w:p w:rsidR="003B5EBC" w:rsidRDefault="003B5EBC">
            <w:pPr>
              <w:pStyle w:val="TableParagraph"/>
              <w:rPr>
                <w:rFonts w:ascii="Garamond" w:eastAsiaTheme="minorHAnsi" w:hAnsi="Garamond" w:cstheme="majorHAnsi"/>
                <w:color w:val="000000"/>
                <w:sz w:val="24"/>
                <w:szCs w:val="24"/>
                <w:lang w:val="zh-CN"/>
              </w:rPr>
            </w:pPr>
          </w:p>
        </w:tc>
        <w:tc>
          <w:tcPr>
            <w:tcW w:w="992" w:type="dxa"/>
            <w:vAlign w:val="center"/>
          </w:tcPr>
          <w:p w:rsidR="003B5EBC" w:rsidRDefault="00A1518B">
            <w:pPr>
              <w:pStyle w:val="TableParagraph"/>
              <w:tabs>
                <w:tab w:val="left" w:pos="186"/>
              </w:tabs>
              <w:ind w:left="113" w:right="317"/>
              <w:jc w:val="center"/>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10</w:t>
            </w:r>
          </w:p>
        </w:tc>
        <w:tc>
          <w:tcPr>
            <w:tcW w:w="1706" w:type="dxa"/>
            <w:gridSpan w:val="2"/>
            <w:vMerge/>
          </w:tcPr>
          <w:p w:rsidR="003B5EBC" w:rsidRDefault="003B5EBC">
            <w:pPr>
              <w:pStyle w:val="TableParagraph"/>
              <w:numPr>
                <w:ilvl w:val="0"/>
                <w:numId w:val="49"/>
              </w:numPr>
              <w:tabs>
                <w:tab w:val="left" w:pos="186"/>
              </w:tabs>
              <w:spacing w:before="89" w:line="277" w:lineRule="exact"/>
              <w:ind w:hanging="114"/>
              <w:rPr>
                <w:rFonts w:ascii="Garamond" w:eastAsiaTheme="minorHAnsi" w:hAnsi="Garamond" w:cstheme="majorHAnsi"/>
                <w:color w:val="000000"/>
                <w:sz w:val="24"/>
                <w:szCs w:val="24"/>
                <w:lang w:val="zh-CN"/>
              </w:rPr>
            </w:pPr>
          </w:p>
        </w:tc>
      </w:tr>
      <w:tr w:rsidR="003B5EBC">
        <w:trPr>
          <w:gridAfter w:val="2"/>
          <w:wAfter w:w="21" w:type="dxa"/>
          <w:trHeight w:val="147"/>
        </w:trPr>
        <w:tc>
          <w:tcPr>
            <w:tcW w:w="2127" w:type="dxa"/>
            <w:vMerge/>
          </w:tcPr>
          <w:p w:rsidR="003B5EBC" w:rsidRDefault="003B5EBC">
            <w:pPr>
              <w:pStyle w:val="TableParagraph"/>
              <w:tabs>
                <w:tab w:val="left" w:pos="322"/>
              </w:tabs>
              <w:spacing w:before="120" w:after="120"/>
              <w:ind w:right="179"/>
              <w:rPr>
                <w:rFonts w:ascii="Garamond" w:hAnsi="Garamond"/>
                <w:color w:val="1F4E79"/>
                <w:sz w:val="24"/>
                <w:szCs w:val="24"/>
              </w:rPr>
            </w:pPr>
          </w:p>
        </w:tc>
        <w:tc>
          <w:tcPr>
            <w:tcW w:w="5812" w:type="dxa"/>
          </w:tcPr>
          <w:p w:rsidR="003B5EBC" w:rsidRDefault="003B5EBC">
            <w:pPr>
              <w:pStyle w:val="TableParagraph"/>
              <w:rPr>
                <w:rFonts w:ascii="Garamond" w:hAnsi="Garamond"/>
                <w:sz w:val="24"/>
                <w:szCs w:val="24"/>
              </w:rPr>
            </w:pPr>
          </w:p>
          <w:p w:rsidR="003B5EBC" w:rsidRDefault="00A1518B">
            <w:pPr>
              <w:pStyle w:val="TableParagraph"/>
              <w:rPr>
                <w:rFonts w:ascii="Garamond" w:eastAsiaTheme="minorHAnsi" w:hAnsi="Garamond" w:cstheme="majorHAnsi"/>
                <w:color w:val="000000"/>
                <w:sz w:val="24"/>
                <w:szCs w:val="24"/>
                <w:lang w:val="zh-CN"/>
              </w:rPr>
            </w:pPr>
            <w:r>
              <w:rPr>
                <w:rFonts w:ascii="Garamond" w:eastAsiaTheme="minorHAnsi" w:hAnsi="Garamond" w:cstheme="majorHAnsi"/>
                <w:b/>
                <w:bCs/>
                <w:color w:val="000000"/>
                <w:sz w:val="24"/>
                <w:szCs w:val="24"/>
                <w:lang w:val="zh-CN"/>
              </w:rPr>
              <w:t>Expérience professionnelle générale.</w:t>
            </w:r>
            <w:r>
              <w:rPr>
                <w:rFonts w:ascii="Garamond" w:eastAsiaTheme="minorHAnsi" w:hAnsi="Garamond" w:cstheme="majorHAnsi"/>
                <w:color w:val="000000"/>
                <w:sz w:val="24"/>
                <w:szCs w:val="24"/>
                <w:lang w:val="zh-CN"/>
              </w:rPr>
              <w:t xml:space="preserve"> </w:t>
            </w:r>
            <w:r>
              <w:rPr>
                <w:rFonts w:ascii="Garamond" w:eastAsiaTheme="minorHAnsi" w:hAnsi="Garamond" w:cstheme="majorHAnsi"/>
                <w:color w:val="000000"/>
                <w:sz w:val="24"/>
                <w:szCs w:val="24"/>
                <w:lang w:val="zh-CN"/>
              </w:rPr>
              <w:br/>
              <w:t xml:space="preserve">• 10 à 15 ans : 5 points </w:t>
            </w:r>
            <w:r>
              <w:rPr>
                <w:rFonts w:ascii="Garamond" w:eastAsiaTheme="minorHAnsi" w:hAnsi="Garamond" w:cstheme="majorHAnsi"/>
                <w:color w:val="000000"/>
                <w:sz w:val="24"/>
                <w:szCs w:val="24"/>
                <w:lang w:val="zh-CN"/>
              </w:rPr>
              <w:br/>
              <w:t>• Moins de 10 ans : 0 point</w:t>
            </w:r>
          </w:p>
          <w:p w:rsidR="003B5EBC" w:rsidRDefault="003B5EBC">
            <w:pPr>
              <w:pStyle w:val="TableParagraph"/>
              <w:rPr>
                <w:rFonts w:ascii="Garamond" w:eastAsiaTheme="minorHAnsi" w:hAnsi="Garamond" w:cstheme="majorHAnsi"/>
                <w:color w:val="000000"/>
                <w:sz w:val="24"/>
                <w:szCs w:val="24"/>
                <w:lang w:val="zh-CN"/>
              </w:rPr>
            </w:pPr>
          </w:p>
        </w:tc>
        <w:tc>
          <w:tcPr>
            <w:tcW w:w="992" w:type="dxa"/>
            <w:vAlign w:val="center"/>
          </w:tcPr>
          <w:p w:rsidR="003B5EBC" w:rsidRDefault="00A1518B">
            <w:pPr>
              <w:pStyle w:val="TableParagraph"/>
              <w:tabs>
                <w:tab w:val="left" w:pos="186"/>
              </w:tabs>
              <w:ind w:left="113" w:right="317"/>
              <w:jc w:val="center"/>
              <w:rPr>
                <w:rFonts w:ascii="Garamond" w:eastAsiaTheme="minorHAnsi" w:hAnsi="Garamond" w:cstheme="majorBidi"/>
                <w:color w:val="000000"/>
                <w:sz w:val="24"/>
                <w:szCs w:val="24"/>
                <w:lang w:val="zh-CN"/>
              </w:rPr>
            </w:pPr>
            <w:r>
              <w:rPr>
                <w:rFonts w:ascii="Garamond" w:eastAsiaTheme="minorHAnsi" w:hAnsi="Garamond" w:cstheme="majorBidi"/>
                <w:color w:val="000000"/>
                <w:sz w:val="24"/>
                <w:szCs w:val="24"/>
                <w:lang w:val="zh-CN"/>
              </w:rPr>
              <w:t>5</w:t>
            </w:r>
          </w:p>
        </w:tc>
        <w:tc>
          <w:tcPr>
            <w:tcW w:w="1706" w:type="dxa"/>
            <w:gridSpan w:val="2"/>
            <w:vMerge/>
          </w:tcPr>
          <w:p w:rsidR="003B5EBC" w:rsidRDefault="003B5EBC">
            <w:pPr>
              <w:pStyle w:val="TableParagraph"/>
              <w:numPr>
                <w:ilvl w:val="0"/>
                <w:numId w:val="49"/>
              </w:numPr>
              <w:tabs>
                <w:tab w:val="left" w:pos="186"/>
              </w:tabs>
              <w:spacing w:before="89" w:line="277" w:lineRule="exact"/>
              <w:ind w:hanging="114"/>
              <w:rPr>
                <w:rFonts w:ascii="Garamond" w:eastAsiaTheme="minorHAnsi" w:hAnsi="Garamond" w:cstheme="majorHAnsi"/>
                <w:color w:val="000000"/>
                <w:sz w:val="24"/>
                <w:szCs w:val="24"/>
                <w:lang w:val="zh-CN"/>
              </w:rPr>
            </w:pPr>
          </w:p>
        </w:tc>
      </w:tr>
      <w:tr w:rsidR="003B5EBC">
        <w:trPr>
          <w:gridAfter w:val="1"/>
          <w:wAfter w:w="7" w:type="dxa"/>
          <w:trHeight w:val="147"/>
        </w:trPr>
        <w:tc>
          <w:tcPr>
            <w:tcW w:w="8945" w:type="dxa"/>
            <w:gridSpan w:val="4"/>
            <w:shd w:val="clear" w:color="auto" w:fill="EDEDED" w:themeFill="accent3" w:themeFillTint="33"/>
            <w:vAlign w:val="center"/>
          </w:tcPr>
          <w:p w:rsidR="003B5EBC" w:rsidRDefault="00A1518B">
            <w:pPr>
              <w:pStyle w:val="TableParagraph"/>
              <w:tabs>
                <w:tab w:val="left" w:pos="186"/>
              </w:tabs>
              <w:ind w:left="113" w:right="317"/>
              <w:jc w:val="center"/>
              <w:rPr>
                <w:rFonts w:ascii="Garamond" w:hAnsi="Garamond"/>
                <w:color w:val="1F4E79"/>
                <w:sz w:val="24"/>
                <w:szCs w:val="24"/>
              </w:rPr>
            </w:pPr>
            <w:r>
              <w:rPr>
                <w:rFonts w:ascii="Garamond" w:hAnsi="Garamond"/>
                <w:color w:val="1F4E79"/>
                <w:sz w:val="24"/>
                <w:szCs w:val="24"/>
                <w:lang w:val="zh-CN"/>
              </w:rPr>
              <w:t>Total Expert 1 — Consultant en architecture des systèmes d’information</w:t>
            </w:r>
          </w:p>
        </w:tc>
        <w:tc>
          <w:tcPr>
            <w:tcW w:w="1706" w:type="dxa"/>
            <w:gridSpan w:val="2"/>
          </w:tcPr>
          <w:p w:rsidR="003B5EBC" w:rsidRDefault="00A1518B">
            <w:pPr>
              <w:pStyle w:val="TableParagraph"/>
              <w:tabs>
                <w:tab w:val="left" w:pos="186"/>
              </w:tabs>
              <w:spacing w:before="89" w:line="277" w:lineRule="exact"/>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 xml:space="preserve"> … / 30 Points</w:t>
            </w:r>
          </w:p>
        </w:tc>
      </w:tr>
      <w:tr w:rsidR="003B5EBC">
        <w:trPr>
          <w:gridAfter w:val="2"/>
          <w:wAfter w:w="21" w:type="dxa"/>
        </w:trPr>
        <w:tc>
          <w:tcPr>
            <w:tcW w:w="2127" w:type="dxa"/>
            <w:vMerge w:val="restart"/>
          </w:tcPr>
          <w:p w:rsidR="003B5EBC" w:rsidRDefault="00A1518B">
            <w:pPr>
              <w:spacing w:before="200" w:after="100"/>
              <w:rPr>
                <w:rFonts w:ascii="Garamond" w:hAnsi="Garamond" w:cstheme="majorBidi"/>
                <w:b/>
                <w:bCs/>
                <w:sz w:val="24"/>
                <w:szCs w:val="24"/>
                <w:lang w:val="fr-FR"/>
              </w:rPr>
            </w:pPr>
            <w:r>
              <w:rPr>
                <w:rFonts w:ascii="Garamond" w:hAnsi="Garamond" w:cstheme="majorBidi"/>
                <w:b/>
                <w:bCs/>
                <w:color w:val="1F4E79" w:themeColor="accent1" w:themeShade="80"/>
                <w:sz w:val="24"/>
                <w:szCs w:val="24"/>
              </w:rPr>
              <w:t>Consultant en gouvernance des ressources naturelles ayant une expérience dans la mise en œuvre du Protocole de Nagoya et la gestion des systèmes de permis APA relatifs aux ressources génétiques</w:t>
            </w:r>
          </w:p>
        </w:tc>
        <w:tc>
          <w:tcPr>
            <w:tcW w:w="5812" w:type="dxa"/>
          </w:tcPr>
          <w:p w:rsidR="003B5EBC" w:rsidRDefault="003B5EBC">
            <w:pPr>
              <w:pStyle w:val="TableParagraph"/>
              <w:rPr>
                <w:rFonts w:ascii="Garamond" w:hAnsi="Garamond" w:cstheme="majorBidi"/>
                <w:sz w:val="24"/>
                <w:szCs w:val="24"/>
              </w:rPr>
            </w:pPr>
          </w:p>
          <w:p w:rsidR="003B5EBC" w:rsidRDefault="00A1518B">
            <w:pPr>
              <w:pStyle w:val="TableParagraph"/>
              <w:rPr>
                <w:rFonts w:ascii="Garamond" w:eastAsiaTheme="minorHAnsi" w:hAnsi="Garamond" w:cstheme="majorBidi"/>
                <w:color w:val="000000"/>
                <w:sz w:val="24"/>
                <w:szCs w:val="24"/>
                <w:lang w:val="zh-CN"/>
              </w:rPr>
            </w:pPr>
            <w:r>
              <w:rPr>
                <w:rFonts w:ascii="Garamond" w:eastAsiaTheme="minorHAnsi" w:hAnsi="Garamond" w:cstheme="majorBidi"/>
                <w:b/>
                <w:bCs/>
                <w:color w:val="000000"/>
                <w:sz w:val="24"/>
                <w:szCs w:val="24"/>
                <w:lang w:val="zh-CN"/>
              </w:rPr>
              <w:t>Formation académique :</w:t>
            </w:r>
            <w:r>
              <w:rPr>
                <w:rFonts w:ascii="Garamond" w:eastAsiaTheme="minorHAnsi" w:hAnsi="Garamond" w:cstheme="majorBidi"/>
                <w:color w:val="000000"/>
                <w:sz w:val="24"/>
                <w:szCs w:val="24"/>
                <w:lang w:val="zh-CN"/>
              </w:rPr>
              <w:t xml:space="preserve"> Master ou Doctorat en droit de l’environnement, gouvernance des ressources naturelles, ou équivalent.</w:t>
            </w:r>
          </w:p>
          <w:p w:rsidR="003B5EBC" w:rsidRDefault="003B5EBC">
            <w:pPr>
              <w:pStyle w:val="TableParagraph"/>
              <w:rPr>
                <w:rFonts w:ascii="Garamond" w:eastAsiaTheme="minorHAnsi" w:hAnsi="Garamond" w:cstheme="majorBidi"/>
                <w:color w:val="000000"/>
                <w:sz w:val="24"/>
                <w:szCs w:val="24"/>
                <w:lang w:val="zh-CN"/>
              </w:rPr>
            </w:pPr>
          </w:p>
        </w:tc>
        <w:tc>
          <w:tcPr>
            <w:tcW w:w="992" w:type="dxa"/>
            <w:vAlign w:val="center"/>
          </w:tcPr>
          <w:p w:rsidR="003B5EBC" w:rsidRDefault="00A1518B">
            <w:pPr>
              <w:pStyle w:val="TableParagraph"/>
              <w:tabs>
                <w:tab w:val="left" w:pos="428"/>
              </w:tabs>
              <w:ind w:left="113" w:right="317"/>
              <w:jc w:val="center"/>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rPr>
              <w:t xml:space="preserve">     </w:t>
            </w:r>
            <w:r>
              <w:rPr>
                <w:rFonts w:ascii="Garamond" w:eastAsiaTheme="minorHAnsi" w:hAnsi="Garamond" w:cstheme="majorHAnsi"/>
                <w:color w:val="000000"/>
                <w:sz w:val="24"/>
                <w:szCs w:val="24"/>
                <w:lang w:val="en-US"/>
              </w:rPr>
              <w:t>5</w:t>
            </w:r>
          </w:p>
        </w:tc>
        <w:tc>
          <w:tcPr>
            <w:tcW w:w="1706" w:type="dxa"/>
            <w:gridSpan w:val="2"/>
            <w:vMerge w:val="restart"/>
            <w:vAlign w:val="center"/>
          </w:tcPr>
          <w:p w:rsidR="003B5EBC" w:rsidRDefault="00A1518B">
            <w:pPr>
              <w:pStyle w:val="TableParagraph"/>
              <w:numPr>
                <w:ilvl w:val="0"/>
                <w:numId w:val="49"/>
              </w:numPr>
              <w:tabs>
                <w:tab w:val="left" w:pos="186"/>
              </w:tabs>
              <w:spacing w:before="89" w:line="277" w:lineRule="exact"/>
              <w:ind w:hanging="11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CV</w:t>
            </w:r>
          </w:p>
          <w:p w:rsidR="003B5EBC" w:rsidRDefault="00A1518B">
            <w:pPr>
              <w:pStyle w:val="TableParagraph"/>
              <w:numPr>
                <w:ilvl w:val="0"/>
                <w:numId w:val="49"/>
              </w:numPr>
              <w:tabs>
                <w:tab w:val="left" w:pos="186"/>
              </w:tabs>
              <w:ind w:right="17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 xml:space="preserve">Diplôme </w:t>
            </w:r>
          </w:p>
          <w:p w:rsidR="003B5EBC" w:rsidRDefault="00A1518B">
            <w:pPr>
              <w:pStyle w:val="TableParagraph"/>
              <w:numPr>
                <w:ilvl w:val="0"/>
                <w:numId w:val="49"/>
              </w:numPr>
              <w:tabs>
                <w:tab w:val="left" w:pos="186"/>
              </w:tabs>
              <w:ind w:right="17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Références</w:t>
            </w:r>
          </w:p>
          <w:p w:rsidR="003B5EBC" w:rsidRDefault="00A1518B">
            <w:pPr>
              <w:pStyle w:val="TableParagraph"/>
              <w:numPr>
                <w:ilvl w:val="0"/>
                <w:numId w:val="49"/>
              </w:numPr>
              <w:tabs>
                <w:tab w:val="left" w:pos="186"/>
              </w:tabs>
              <w:ind w:right="17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Attestations</w:t>
            </w:r>
          </w:p>
          <w:p w:rsidR="003B5EBC" w:rsidRDefault="003B5EBC">
            <w:pPr>
              <w:pStyle w:val="TableParagraph"/>
              <w:spacing w:line="275" w:lineRule="exact"/>
              <w:ind w:left="113"/>
              <w:rPr>
                <w:rFonts w:ascii="Garamond" w:eastAsiaTheme="minorHAnsi" w:hAnsi="Garamond" w:cstheme="majorHAnsi"/>
                <w:color w:val="000000"/>
                <w:sz w:val="24"/>
                <w:szCs w:val="24"/>
                <w:lang w:val="zh-CN"/>
              </w:rPr>
            </w:pPr>
          </w:p>
        </w:tc>
      </w:tr>
      <w:tr w:rsidR="003B5EBC">
        <w:trPr>
          <w:gridAfter w:val="2"/>
          <w:wAfter w:w="21" w:type="dxa"/>
        </w:trPr>
        <w:tc>
          <w:tcPr>
            <w:tcW w:w="2127" w:type="dxa"/>
            <w:vMerge/>
          </w:tcPr>
          <w:p w:rsidR="003B5EBC" w:rsidRDefault="003B5EBC">
            <w:pPr>
              <w:spacing w:before="200" w:after="100"/>
              <w:rPr>
                <w:rFonts w:ascii="Garamond" w:hAnsi="Garamond" w:cstheme="majorBidi"/>
                <w:b/>
                <w:bCs/>
                <w:color w:val="1F4E79"/>
                <w:sz w:val="24"/>
                <w:szCs w:val="24"/>
                <w:lang w:val="fr-FR"/>
              </w:rPr>
            </w:pPr>
          </w:p>
        </w:tc>
        <w:tc>
          <w:tcPr>
            <w:tcW w:w="5812" w:type="dxa"/>
          </w:tcPr>
          <w:p w:rsidR="003B5EBC" w:rsidRDefault="003B5EBC">
            <w:pPr>
              <w:pStyle w:val="TableParagraph"/>
              <w:rPr>
                <w:rFonts w:ascii="Garamond" w:hAnsi="Garamond" w:cstheme="majorBidi"/>
                <w:sz w:val="24"/>
                <w:szCs w:val="24"/>
              </w:rPr>
            </w:pPr>
          </w:p>
          <w:p w:rsidR="003B5EBC" w:rsidRDefault="00A1518B">
            <w:pPr>
              <w:pStyle w:val="TableParagraph"/>
              <w:rPr>
                <w:rFonts w:ascii="Garamond" w:eastAsiaTheme="minorHAnsi" w:hAnsi="Garamond" w:cstheme="majorBidi"/>
                <w:color w:val="000000"/>
                <w:sz w:val="24"/>
                <w:szCs w:val="24"/>
                <w:lang w:val="zh-CN"/>
              </w:rPr>
            </w:pPr>
            <w:r>
              <w:rPr>
                <w:rFonts w:ascii="Garamond" w:eastAsiaTheme="minorHAnsi" w:hAnsi="Garamond" w:cstheme="majorBidi"/>
                <w:b/>
                <w:bCs/>
                <w:color w:val="000000"/>
                <w:sz w:val="24"/>
                <w:szCs w:val="24"/>
                <w:lang w:val="zh-CN"/>
              </w:rPr>
              <w:t>Nombre de projets réalisés</w:t>
            </w:r>
            <w:r>
              <w:rPr>
                <w:rFonts w:ascii="Garamond" w:eastAsiaTheme="minorHAnsi" w:hAnsi="Garamond" w:cstheme="majorBidi"/>
                <w:color w:val="000000"/>
                <w:sz w:val="24"/>
                <w:szCs w:val="24"/>
                <w:lang w:val="zh-CN"/>
              </w:rPr>
              <w:t xml:space="preserve">, en lien avec la gouvernance des ressources naturelles, le Protocole de Nagoya, l’APA ou les systèmes de permis relatifs aux ressources génétiques. </w:t>
            </w:r>
            <w:r>
              <w:rPr>
                <w:rFonts w:ascii="Garamond" w:eastAsiaTheme="minorHAnsi" w:hAnsi="Garamond" w:cstheme="majorBidi"/>
                <w:color w:val="000000"/>
                <w:sz w:val="24"/>
                <w:szCs w:val="24"/>
                <w:lang w:val="zh-CN"/>
              </w:rPr>
              <w:br/>
              <w:t xml:space="preserve">• Moins de 2 projets : 0 point </w:t>
            </w:r>
            <w:r>
              <w:rPr>
                <w:rFonts w:ascii="Garamond" w:eastAsiaTheme="minorHAnsi" w:hAnsi="Garamond" w:cstheme="majorBidi"/>
                <w:color w:val="000000"/>
                <w:sz w:val="24"/>
                <w:szCs w:val="24"/>
                <w:lang w:val="zh-CN"/>
              </w:rPr>
              <w:br/>
              <w:t>• 2 projets et plus : 2 points par projet, plafonné à 10 points</w:t>
            </w:r>
          </w:p>
          <w:p w:rsidR="003B5EBC" w:rsidRDefault="003B5EBC">
            <w:pPr>
              <w:pStyle w:val="TableParagraph"/>
              <w:rPr>
                <w:rFonts w:ascii="Garamond" w:eastAsiaTheme="minorHAnsi" w:hAnsi="Garamond" w:cstheme="majorBidi"/>
                <w:color w:val="000000"/>
                <w:sz w:val="24"/>
                <w:szCs w:val="24"/>
                <w:lang w:val="zh-CN"/>
              </w:rPr>
            </w:pPr>
          </w:p>
        </w:tc>
        <w:tc>
          <w:tcPr>
            <w:tcW w:w="992" w:type="dxa"/>
            <w:vAlign w:val="center"/>
          </w:tcPr>
          <w:p w:rsidR="003B5EBC" w:rsidRDefault="00A1518B">
            <w:pPr>
              <w:pStyle w:val="TableParagraph"/>
              <w:tabs>
                <w:tab w:val="left" w:pos="461"/>
              </w:tabs>
              <w:spacing w:before="89" w:line="277" w:lineRule="exact"/>
              <w:ind w:left="113"/>
              <w:rPr>
                <w:rFonts w:ascii="Garamond" w:eastAsiaTheme="minorHAnsi" w:hAnsi="Garamond" w:cstheme="majorHAnsi"/>
                <w:color w:val="000000"/>
                <w:sz w:val="24"/>
                <w:szCs w:val="24"/>
                <w:lang w:val="zh-CN"/>
              </w:rPr>
            </w:pPr>
            <w:r>
              <w:rPr>
                <w:rFonts w:ascii="Garamond" w:hAnsi="Garamond"/>
                <w:color w:val="000000"/>
                <w:sz w:val="24"/>
                <w:szCs w:val="24"/>
                <w:lang w:val="zh-CN"/>
              </w:rPr>
              <w:t xml:space="preserve"> 10</w:t>
            </w:r>
          </w:p>
        </w:tc>
        <w:tc>
          <w:tcPr>
            <w:tcW w:w="1706" w:type="dxa"/>
            <w:gridSpan w:val="2"/>
            <w:vMerge/>
          </w:tcPr>
          <w:p w:rsidR="003B5EBC" w:rsidRDefault="003B5EBC">
            <w:pPr>
              <w:pStyle w:val="TableParagraph"/>
              <w:numPr>
                <w:ilvl w:val="0"/>
                <w:numId w:val="49"/>
              </w:numPr>
              <w:spacing w:line="275" w:lineRule="exact"/>
              <w:rPr>
                <w:rFonts w:ascii="Garamond" w:eastAsiaTheme="minorHAnsi" w:hAnsi="Garamond" w:cstheme="majorHAnsi"/>
                <w:color w:val="000000"/>
                <w:sz w:val="24"/>
                <w:szCs w:val="24"/>
                <w:lang w:val="zh-CN"/>
              </w:rPr>
            </w:pPr>
          </w:p>
        </w:tc>
      </w:tr>
      <w:tr w:rsidR="003B5EBC">
        <w:trPr>
          <w:gridAfter w:val="2"/>
          <w:wAfter w:w="21" w:type="dxa"/>
        </w:trPr>
        <w:tc>
          <w:tcPr>
            <w:tcW w:w="2127" w:type="dxa"/>
            <w:vMerge/>
          </w:tcPr>
          <w:p w:rsidR="003B5EBC" w:rsidRDefault="003B5EBC">
            <w:pPr>
              <w:spacing w:before="200" w:after="100"/>
              <w:rPr>
                <w:rFonts w:ascii="Garamond" w:hAnsi="Garamond" w:cstheme="majorBidi"/>
                <w:b/>
                <w:bCs/>
                <w:color w:val="1F4E79"/>
                <w:sz w:val="24"/>
                <w:szCs w:val="24"/>
                <w:lang w:val="fr-FR"/>
              </w:rPr>
            </w:pPr>
          </w:p>
        </w:tc>
        <w:tc>
          <w:tcPr>
            <w:tcW w:w="5812" w:type="dxa"/>
          </w:tcPr>
          <w:p w:rsidR="003B5EBC" w:rsidRDefault="003B5EBC">
            <w:pPr>
              <w:pStyle w:val="TableParagraph"/>
              <w:rPr>
                <w:rFonts w:ascii="Garamond" w:hAnsi="Garamond" w:cstheme="majorBidi"/>
                <w:sz w:val="24"/>
                <w:szCs w:val="24"/>
              </w:rPr>
            </w:pPr>
          </w:p>
          <w:p w:rsidR="003B5EBC" w:rsidRDefault="00A1518B">
            <w:pPr>
              <w:pStyle w:val="TableParagraph"/>
              <w:rPr>
                <w:rFonts w:ascii="Garamond" w:eastAsiaTheme="minorHAnsi" w:hAnsi="Garamond" w:cstheme="majorBidi"/>
                <w:color w:val="000000"/>
                <w:sz w:val="24"/>
                <w:szCs w:val="24"/>
                <w:lang w:val="zh-CN"/>
              </w:rPr>
            </w:pPr>
            <w:r>
              <w:rPr>
                <w:rFonts w:ascii="Garamond" w:eastAsiaTheme="minorHAnsi" w:hAnsi="Garamond" w:cstheme="majorBidi"/>
                <w:b/>
                <w:bCs/>
                <w:color w:val="000000"/>
                <w:sz w:val="24"/>
                <w:szCs w:val="24"/>
                <w:lang w:val="zh-CN"/>
              </w:rPr>
              <w:t>Expérience dans la mise en œuvre de politiques de gouvernance environnementale, en particulier en lien avec le Protocole de Nagoya.</w:t>
            </w:r>
            <w:r>
              <w:rPr>
                <w:rFonts w:ascii="Garamond" w:eastAsiaTheme="minorHAnsi" w:hAnsi="Garamond" w:cstheme="majorBidi"/>
                <w:color w:val="000000"/>
                <w:sz w:val="24"/>
                <w:szCs w:val="24"/>
                <w:lang w:val="zh-CN"/>
              </w:rPr>
              <w:t xml:space="preserve"> </w:t>
            </w:r>
            <w:r>
              <w:rPr>
                <w:rFonts w:ascii="Garamond" w:eastAsiaTheme="minorHAnsi" w:hAnsi="Garamond" w:cstheme="majorBidi"/>
                <w:color w:val="000000"/>
                <w:sz w:val="24"/>
                <w:szCs w:val="24"/>
                <w:lang w:val="zh-CN"/>
              </w:rPr>
              <w:br/>
              <w:t xml:space="preserve">• Moins de 5 ans : 0 point </w:t>
            </w:r>
            <w:r>
              <w:rPr>
                <w:rFonts w:ascii="Garamond" w:eastAsiaTheme="minorHAnsi" w:hAnsi="Garamond" w:cstheme="majorBidi"/>
                <w:color w:val="000000"/>
                <w:sz w:val="24"/>
                <w:szCs w:val="24"/>
                <w:lang w:val="zh-CN"/>
              </w:rPr>
              <w:br/>
              <w:t>• 5 ans et plus : 1 point par année, plafonné à 5 points</w:t>
            </w:r>
          </w:p>
          <w:p w:rsidR="003B5EBC" w:rsidRDefault="003B5EBC">
            <w:pPr>
              <w:pStyle w:val="TableParagraph"/>
              <w:rPr>
                <w:rFonts w:ascii="Garamond" w:eastAsiaTheme="minorHAnsi" w:hAnsi="Garamond" w:cstheme="majorBidi"/>
                <w:color w:val="000000"/>
                <w:sz w:val="24"/>
                <w:szCs w:val="24"/>
                <w:lang w:val="zh-CN"/>
              </w:rPr>
            </w:pPr>
          </w:p>
        </w:tc>
        <w:tc>
          <w:tcPr>
            <w:tcW w:w="992" w:type="dxa"/>
            <w:vAlign w:val="center"/>
          </w:tcPr>
          <w:p w:rsidR="003B5EBC" w:rsidRDefault="00A1518B">
            <w:pPr>
              <w:pStyle w:val="TableParagraph"/>
              <w:tabs>
                <w:tab w:val="left" w:pos="186"/>
              </w:tabs>
              <w:spacing w:before="89" w:line="277" w:lineRule="exact"/>
              <w:ind w:left="113"/>
              <w:rPr>
                <w:rFonts w:ascii="Garamond" w:eastAsiaTheme="minorHAnsi" w:hAnsi="Garamond" w:cstheme="majorHAnsi"/>
                <w:color w:val="000000"/>
                <w:sz w:val="24"/>
                <w:szCs w:val="24"/>
                <w:lang w:val="zh-CN"/>
              </w:rPr>
            </w:pPr>
            <w:r>
              <w:rPr>
                <w:rFonts w:ascii="Garamond" w:hAnsi="Garamond"/>
                <w:color w:val="000000"/>
                <w:sz w:val="24"/>
                <w:szCs w:val="24"/>
                <w:lang w:val="zh-CN"/>
              </w:rPr>
              <w:t xml:space="preserve">  5</w:t>
            </w:r>
          </w:p>
        </w:tc>
        <w:tc>
          <w:tcPr>
            <w:tcW w:w="1706" w:type="dxa"/>
            <w:gridSpan w:val="2"/>
            <w:vMerge/>
          </w:tcPr>
          <w:p w:rsidR="003B5EBC" w:rsidRDefault="003B5EBC">
            <w:pPr>
              <w:pStyle w:val="TableParagraph"/>
              <w:numPr>
                <w:ilvl w:val="0"/>
                <w:numId w:val="49"/>
              </w:numPr>
              <w:spacing w:line="275" w:lineRule="exact"/>
              <w:rPr>
                <w:rFonts w:ascii="Garamond" w:eastAsiaTheme="minorHAnsi" w:hAnsi="Garamond" w:cstheme="majorHAnsi"/>
                <w:color w:val="000000"/>
                <w:sz w:val="24"/>
                <w:szCs w:val="24"/>
                <w:lang w:val="zh-CN"/>
              </w:rPr>
            </w:pPr>
          </w:p>
        </w:tc>
      </w:tr>
      <w:tr w:rsidR="003B5EBC">
        <w:trPr>
          <w:gridAfter w:val="1"/>
          <w:wAfter w:w="7" w:type="dxa"/>
        </w:trPr>
        <w:tc>
          <w:tcPr>
            <w:tcW w:w="8945" w:type="dxa"/>
            <w:gridSpan w:val="4"/>
            <w:shd w:val="clear" w:color="auto" w:fill="EDEDED" w:themeFill="accent3" w:themeFillTint="33"/>
            <w:vAlign w:val="center"/>
          </w:tcPr>
          <w:p w:rsidR="003B5EBC" w:rsidRDefault="00A1518B">
            <w:pPr>
              <w:pStyle w:val="TableParagraph"/>
              <w:tabs>
                <w:tab w:val="left" w:pos="186"/>
              </w:tabs>
              <w:spacing w:before="89" w:line="277" w:lineRule="exact"/>
              <w:ind w:left="113"/>
              <w:rPr>
                <w:rFonts w:ascii="Garamond" w:hAnsi="Garamond"/>
                <w:color w:val="1F4E79"/>
                <w:sz w:val="24"/>
                <w:szCs w:val="24"/>
                <w:lang w:val="zh-CN"/>
              </w:rPr>
            </w:pPr>
            <w:r>
              <w:rPr>
                <w:rFonts w:ascii="Garamond" w:hAnsi="Garamond"/>
                <w:color w:val="1F4E79"/>
                <w:sz w:val="24"/>
                <w:szCs w:val="24"/>
                <w:lang w:val="zh-CN"/>
              </w:rPr>
              <w:t>Total Expert 2 — Consultant en gouvernance des ressources naturelles et Protocole de Nagoya/APA</w:t>
            </w:r>
          </w:p>
          <w:p w:rsidR="003B5EBC" w:rsidRDefault="003B5EBC">
            <w:pPr>
              <w:pStyle w:val="TableParagraph"/>
              <w:tabs>
                <w:tab w:val="left" w:pos="186"/>
              </w:tabs>
              <w:spacing w:before="89" w:line="277" w:lineRule="exact"/>
              <w:ind w:left="113"/>
              <w:rPr>
                <w:rFonts w:ascii="Garamond" w:hAnsi="Garamond"/>
                <w:color w:val="1F4E79"/>
                <w:sz w:val="24"/>
                <w:szCs w:val="24"/>
              </w:rPr>
            </w:pPr>
          </w:p>
        </w:tc>
        <w:tc>
          <w:tcPr>
            <w:tcW w:w="1706" w:type="dxa"/>
            <w:gridSpan w:val="2"/>
            <w:vAlign w:val="center"/>
          </w:tcPr>
          <w:p w:rsidR="003B5EBC" w:rsidRDefault="00A1518B">
            <w:pPr>
              <w:pStyle w:val="TableParagraph"/>
              <w:spacing w:line="275" w:lineRule="exact"/>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 / 20 Points</w:t>
            </w:r>
          </w:p>
        </w:tc>
      </w:tr>
      <w:tr w:rsidR="003B5EBC">
        <w:trPr>
          <w:gridAfter w:val="2"/>
          <w:wAfter w:w="21" w:type="dxa"/>
        </w:trPr>
        <w:tc>
          <w:tcPr>
            <w:tcW w:w="2127" w:type="dxa"/>
            <w:vMerge w:val="restart"/>
          </w:tcPr>
          <w:p w:rsidR="003B5EBC" w:rsidRDefault="00A1518B">
            <w:pPr>
              <w:pStyle w:val="TableParagraph"/>
              <w:tabs>
                <w:tab w:val="left" w:pos="322"/>
                <w:tab w:val="left" w:pos="1591"/>
              </w:tabs>
              <w:spacing w:before="120" w:after="120"/>
              <w:ind w:right="179"/>
              <w:rPr>
                <w:rFonts w:ascii="Garamond" w:eastAsiaTheme="minorHAnsi" w:hAnsi="Garamond" w:cstheme="majorHAnsi"/>
                <w:b/>
                <w:bCs/>
                <w:color w:val="000000"/>
                <w:sz w:val="24"/>
                <w:szCs w:val="24"/>
                <w:lang w:val="zh-CN"/>
              </w:rPr>
            </w:pPr>
            <w:r>
              <w:rPr>
                <w:rFonts w:ascii="Garamond" w:eastAsiaTheme="minorHAnsi" w:hAnsi="Garamond" w:cstheme="majorHAnsi"/>
                <w:b/>
                <w:bCs/>
                <w:color w:val="1F4E79" w:themeColor="accent1" w:themeShade="80"/>
                <w:sz w:val="24"/>
                <w:szCs w:val="24"/>
                <w:lang w:val="zh-CN"/>
              </w:rPr>
              <w:t xml:space="preserve">Consultant en </w:t>
            </w:r>
            <w:r>
              <w:rPr>
                <w:rFonts w:ascii="Garamond" w:eastAsiaTheme="minorHAnsi" w:hAnsi="Garamond" w:cstheme="majorHAnsi"/>
                <w:b/>
                <w:bCs/>
                <w:color w:val="1F4E79" w:themeColor="accent1" w:themeShade="80"/>
                <w:sz w:val="24"/>
                <w:szCs w:val="24"/>
                <w:lang w:val="zh-CN"/>
              </w:rPr>
              <w:lastRenderedPageBreak/>
              <w:t xml:space="preserve">politique publique spécialisé dans les réformes administratives et la numérisation des processus </w:t>
            </w:r>
            <w:r>
              <w:rPr>
                <w:rFonts w:ascii="Garamond" w:eastAsiaTheme="minorHAnsi" w:hAnsi="Garamond" w:cstheme="majorHAnsi"/>
                <w:b/>
                <w:bCs/>
                <w:color w:val="1F4E79" w:themeColor="accent1" w:themeShade="80"/>
                <w:lang w:val="zh-CN"/>
              </w:rPr>
              <w:t>gouvernementaux</w:t>
            </w:r>
          </w:p>
        </w:tc>
        <w:tc>
          <w:tcPr>
            <w:tcW w:w="5812" w:type="dxa"/>
            <w:vAlign w:val="center"/>
          </w:tcPr>
          <w:p w:rsidR="003B5EBC" w:rsidRDefault="003B5EBC">
            <w:pPr>
              <w:pStyle w:val="TableParagraph"/>
              <w:rPr>
                <w:rFonts w:ascii="Garamond" w:hAnsi="Garamond"/>
                <w:sz w:val="24"/>
                <w:szCs w:val="24"/>
              </w:rPr>
            </w:pPr>
          </w:p>
          <w:p w:rsidR="003B5EBC" w:rsidRDefault="00A1518B">
            <w:pPr>
              <w:pStyle w:val="TableParagraph"/>
              <w:rPr>
                <w:rFonts w:ascii="Garamond" w:eastAsiaTheme="minorHAnsi" w:hAnsi="Garamond" w:cstheme="majorHAnsi"/>
                <w:color w:val="000000"/>
                <w:sz w:val="24"/>
                <w:szCs w:val="24"/>
                <w:lang w:val="zh-CN"/>
              </w:rPr>
            </w:pPr>
            <w:r>
              <w:rPr>
                <w:rFonts w:ascii="Garamond" w:eastAsiaTheme="minorHAnsi" w:hAnsi="Garamond" w:cstheme="majorHAnsi"/>
                <w:b/>
                <w:bCs/>
                <w:color w:val="000000"/>
                <w:sz w:val="24"/>
                <w:szCs w:val="24"/>
                <w:lang w:val="zh-CN"/>
              </w:rPr>
              <w:t>Formation académique :</w:t>
            </w:r>
            <w:r>
              <w:rPr>
                <w:rFonts w:ascii="Garamond" w:eastAsiaTheme="minorHAnsi" w:hAnsi="Garamond" w:cstheme="majorHAnsi"/>
                <w:color w:val="000000"/>
                <w:sz w:val="24"/>
                <w:szCs w:val="24"/>
                <w:lang w:val="zh-CN"/>
              </w:rPr>
              <w:t xml:space="preserve"> Master en politiques publiques, </w:t>
            </w:r>
            <w:r>
              <w:rPr>
                <w:rFonts w:ascii="Garamond" w:eastAsiaTheme="minorHAnsi" w:hAnsi="Garamond" w:cstheme="majorHAnsi"/>
                <w:color w:val="000000"/>
                <w:sz w:val="24"/>
                <w:szCs w:val="24"/>
                <w:lang w:val="zh-CN"/>
              </w:rPr>
              <w:lastRenderedPageBreak/>
              <w:t>administration publique, sciences politiques, ou équivalent.</w:t>
            </w:r>
          </w:p>
          <w:p w:rsidR="003B5EBC" w:rsidRDefault="003B5EBC">
            <w:pPr>
              <w:pStyle w:val="TableParagraph"/>
              <w:rPr>
                <w:rFonts w:ascii="Garamond" w:eastAsiaTheme="minorHAnsi" w:hAnsi="Garamond" w:cstheme="majorHAnsi"/>
                <w:color w:val="000000"/>
                <w:sz w:val="24"/>
                <w:szCs w:val="24"/>
                <w:lang w:val="zh-CN"/>
              </w:rPr>
            </w:pPr>
          </w:p>
        </w:tc>
        <w:tc>
          <w:tcPr>
            <w:tcW w:w="992" w:type="dxa"/>
            <w:vAlign w:val="center"/>
          </w:tcPr>
          <w:p w:rsidR="003B5EBC" w:rsidRDefault="00A1518B">
            <w:pPr>
              <w:pStyle w:val="TableParagraph"/>
              <w:tabs>
                <w:tab w:val="left" w:pos="186"/>
              </w:tabs>
              <w:spacing w:before="89" w:line="277" w:lineRule="exact"/>
              <w:ind w:left="113"/>
              <w:rPr>
                <w:rFonts w:ascii="Garamond" w:eastAsiaTheme="minorHAnsi" w:hAnsi="Garamond" w:cstheme="majorHAnsi"/>
                <w:color w:val="000000"/>
                <w:sz w:val="24"/>
                <w:szCs w:val="24"/>
                <w:lang w:val="zh-CN"/>
              </w:rPr>
            </w:pPr>
            <w:r>
              <w:rPr>
                <w:rFonts w:ascii="Garamond" w:hAnsi="Garamond"/>
                <w:sz w:val="24"/>
                <w:szCs w:val="24"/>
              </w:rPr>
              <w:lastRenderedPageBreak/>
              <w:t xml:space="preserve">   5</w:t>
            </w:r>
          </w:p>
        </w:tc>
        <w:tc>
          <w:tcPr>
            <w:tcW w:w="1706" w:type="dxa"/>
            <w:gridSpan w:val="2"/>
            <w:vMerge w:val="restart"/>
            <w:vAlign w:val="center"/>
          </w:tcPr>
          <w:p w:rsidR="003B5EBC" w:rsidRDefault="00A1518B">
            <w:pPr>
              <w:pStyle w:val="TableParagraph"/>
              <w:numPr>
                <w:ilvl w:val="0"/>
                <w:numId w:val="49"/>
              </w:numPr>
              <w:tabs>
                <w:tab w:val="left" w:pos="186"/>
              </w:tabs>
              <w:spacing w:before="89" w:line="277" w:lineRule="exact"/>
              <w:ind w:hanging="11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CV</w:t>
            </w:r>
          </w:p>
          <w:p w:rsidR="003B5EBC" w:rsidRDefault="00A1518B">
            <w:pPr>
              <w:pStyle w:val="TableParagraph"/>
              <w:numPr>
                <w:ilvl w:val="0"/>
                <w:numId w:val="49"/>
              </w:numPr>
              <w:tabs>
                <w:tab w:val="left" w:pos="186"/>
              </w:tabs>
              <w:ind w:right="17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lastRenderedPageBreak/>
              <w:t xml:space="preserve">Diplôme </w:t>
            </w:r>
          </w:p>
          <w:p w:rsidR="003B5EBC" w:rsidRDefault="00A1518B">
            <w:pPr>
              <w:pStyle w:val="TableParagraph"/>
              <w:numPr>
                <w:ilvl w:val="0"/>
                <w:numId w:val="49"/>
              </w:numPr>
              <w:tabs>
                <w:tab w:val="left" w:pos="186"/>
              </w:tabs>
              <w:ind w:right="17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Références</w:t>
            </w:r>
          </w:p>
          <w:p w:rsidR="003B5EBC" w:rsidRDefault="00A1518B">
            <w:pPr>
              <w:pStyle w:val="TableParagraph"/>
              <w:numPr>
                <w:ilvl w:val="0"/>
                <w:numId w:val="49"/>
              </w:numPr>
              <w:tabs>
                <w:tab w:val="left" w:pos="186"/>
              </w:tabs>
              <w:ind w:right="174"/>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Attestations</w:t>
            </w:r>
          </w:p>
          <w:p w:rsidR="003B5EBC" w:rsidRDefault="003B5EBC">
            <w:pPr>
              <w:pStyle w:val="TableParagraph"/>
              <w:spacing w:line="275" w:lineRule="exact"/>
              <w:ind w:left="113"/>
              <w:rPr>
                <w:rFonts w:ascii="Garamond" w:eastAsiaTheme="minorHAnsi" w:hAnsi="Garamond" w:cstheme="majorHAnsi"/>
                <w:color w:val="000000"/>
                <w:sz w:val="24"/>
                <w:szCs w:val="24"/>
                <w:lang w:val="zh-CN"/>
              </w:rPr>
            </w:pPr>
          </w:p>
        </w:tc>
      </w:tr>
      <w:tr w:rsidR="003B5EBC">
        <w:trPr>
          <w:gridAfter w:val="2"/>
          <w:wAfter w:w="21" w:type="dxa"/>
        </w:trPr>
        <w:tc>
          <w:tcPr>
            <w:tcW w:w="2127" w:type="dxa"/>
            <w:vMerge/>
          </w:tcPr>
          <w:p w:rsidR="003B5EBC" w:rsidRDefault="003B5EBC">
            <w:pPr>
              <w:pStyle w:val="TableParagraph"/>
              <w:tabs>
                <w:tab w:val="left" w:pos="322"/>
              </w:tabs>
              <w:spacing w:before="120" w:after="120"/>
              <w:ind w:right="179"/>
              <w:jc w:val="both"/>
              <w:rPr>
                <w:rFonts w:ascii="Garamond" w:eastAsiaTheme="minorHAnsi" w:hAnsi="Garamond" w:cstheme="majorHAnsi"/>
                <w:color w:val="000000"/>
                <w:sz w:val="24"/>
                <w:szCs w:val="24"/>
                <w:lang w:val="zh-CN"/>
              </w:rPr>
            </w:pPr>
          </w:p>
        </w:tc>
        <w:tc>
          <w:tcPr>
            <w:tcW w:w="5812" w:type="dxa"/>
            <w:vAlign w:val="center"/>
          </w:tcPr>
          <w:p w:rsidR="003B5EBC" w:rsidRDefault="003B5EBC">
            <w:pPr>
              <w:pStyle w:val="TableParagraph"/>
              <w:rPr>
                <w:rFonts w:ascii="Garamond" w:hAnsi="Garamond"/>
                <w:sz w:val="24"/>
                <w:szCs w:val="24"/>
              </w:rPr>
            </w:pPr>
          </w:p>
          <w:p w:rsidR="003B5EBC" w:rsidRDefault="00A1518B">
            <w:pPr>
              <w:pStyle w:val="TableParagraph"/>
              <w:rPr>
                <w:rFonts w:ascii="Garamond" w:eastAsiaTheme="minorHAnsi" w:hAnsi="Garamond" w:cstheme="majorHAnsi"/>
                <w:color w:val="000000"/>
                <w:sz w:val="24"/>
                <w:szCs w:val="24"/>
                <w:lang w:val="zh-CN"/>
              </w:rPr>
            </w:pPr>
            <w:r>
              <w:rPr>
                <w:rFonts w:ascii="Garamond" w:eastAsiaTheme="minorHAnsi" w:hAnsi="Garamond" w:cstheme="majorHAnsi"/>
                <w:b/>
                <w:bCs/>
                <w:color w:val="000000"/>
                <w:sz w:val="24"/>
                <w:szCs w:val="24"/>
                <w:lang w:val="zh-CN"/>
              </w:rPr>
              <w:t>Nombre de projets réalisés</w:t>
            </w:r>
            <w:r>
              <w:rPr>
                <w:rFonts w:ascii="Garamond" w:eastAsiaTheme="minorHAnsi" w:hAnsi="Garamond" w:cstheme="majorHAnsi"/>
                <w:color w:val="000000"/>
                <w:sz w:val="24"/>
                <w:szCs w:val="24"/>
                <w:lang w:val="zh-CN"/>
              </w:rPr>
              <w:t xml:space="preserve">, en lien avec les réformes administratives, la numérisation des processus gouvernementaux, la dématérialisation des services publics ou la transformation numérique. </w:t>
            </w:r>
            <w:r>
              <w:rPr>
                <w:rFonts w:ascii="Garamond" w:eastAsiaTheme="minorHAnsi" w:hAnsi="Garamond" w:cstheme="majorHAnsi"/>
                <w:color w:val="000000"/>
                <w:sz w:val="24"/>
                <w:szCs w:val="24"/>
                <w:lang w:val="zh-CN"/>
              </w:rPr>
              <w:br/>
              <w:t xml:space="preserve">• Moins de 2 projets : 0 point </w:t>
            </w:r>
            <w:r>
              <w:rPr>
                <w:rFonts w:ascii="Garamond" w:eastAsiaTheme="minorHAnsi" w:hAnsi="Garamond" w:cstheme="majorHAnsi"/>
                <w:color w:val="000000"/>
                <w:sz w:val="24"/>
                <w:szCs w:val="24"/>
                <w:lang w:val="zh-CN"/>
              </w:rPr>
              <w:br/>
              <w:t>• 2 projets et plus : 2 points par projet, plafonné à 10 points</w:t>
            </w:r>
          </w:p>
          <w:p w:rsidR="003B5EBC" w:rsidRDefault="003B5EBC">
            <w:pPr>
              <w:pStyle w:val="TableParagraph"/>
              <w:rPr>
                <w:rFonts w:ascii="Garamond" w:eastAsiaTheme="minorHAnsi" w:hAnsi="Garamond" w:cstheme="majorHAnsi"/>
                <w:color w:val="000000"/>
                <w:sz w:val="24"/>
                <w:szCs w:val="24"/>
                <w:lang w:val="zh-CN"/>
              </w:rPr>
            </w:pPr>
          </w:p>
        </w:tc>
        <w:tc>
          <w:tcPr>
            <w:tcW w:w="992" w:type="dxa"/>
            <w:vAlign w:val="center"/>
          </w:tcPr>
          <w:p w:rsidR="003B5EBC" w:rsidRDefault="00A1518B">
            <w:pPr>
              <w:pStyle w:val="TableParagraph"/>
              <w:tabs>
                <w:tab w:val="left" w:pos="186"/>
              </w:tabs>
              <w:spacing w:before="89" w:line="277" w:lineRule="exact"/>
              <w:jc w:val="center"/>
              <w:rPr>
                <w:rFonts w:ascii="Garamond" w:eastAsiaTheme="minorHAnsi" w:hAnsi="Garamond" w:cstheme="majorHAnsi"/>
                <w:color w:val="000000"/>
                <w:sz w:val="24"/>
                <w:szCs w:val="24"/>
                <w:lang w:val="zh-CN"/>
              </w:rPr>
            </w:pPr>
            <w:r>
              <w:rPr>
                <w:rFonts w:ascii="Garamond" w:hAnsi="Garamond"/>
                <w:sz w:val="24"/>
                <w:szCs w:val="24"/>
              </w:rPr>
              <w:t>10</w:t>
            </w:r>
          </w:p>
        </w:tc>
        <w:tc>
          <w:tcPr>
            <w:tcW w:w="1706" w:type="dxa"/>
            <w:gridSpan w:val="2"/>
            <w:vMerge/>
          </w:tcPr>
          <w:p w:rsidR="003B5EBC" w:rsidRDefault="003B5EBC">
            <w:pPr>
              <w:pStyle w:val="TableParagraph"/>
              <w:numPr>
                <w:ilvl w:val="0"/>
                <w:numId w:val="49"/>
              </w:numPr>
              <w:spacing w:line="275" w:lineRule="exact"/>
              <w:rPr>
                <w:rFonts w:ascii="Garamond" w:eastAsiaTheme="minorHAnsi" w:hAnsi="Garamond" w:cstheme="majorHAnsi"/>
                <w:color w:val="000000"/>
                <w:sz w:val="24"/>
                <w:szCs w:val="24"/>
                <w:lang w:val="zh-CN"/>
              </w:rPr>
            </w:pPr>
          </w:p>
        </w:tc>
      </w:tr>
      <w:tr w:rsidR="003B5EBC">
        <w:trPr>
          <w:gridAfter w:val="2"/>
          <w:wAfter w:w="21" w:type="dxa"/>
        </w:trPr>
        <w:tc>
          <w:tcPr>
            <w:tcW w:w="2127" w:type="dxa"/>
            <w:vMerge/>
          </w:tcPr>
          <w:p w:rsidR="003B5EBC" w:rsidRDefault="003B5EBC">
            <w:pPr>
              <w:pStyle w:val="TableParagraph"/>
              <w:tabs>
                <w:tab w:val="left" w:pos="322"/>
              </w:tabs>
              <w:spacing w:before="120" w:after="120"/>
              <w:ind w:right="179"/>
              <w:jc w:val="both"/>
              <w:rPr>
                <w:rFonts w:ascii="Garamond" w:eastAsiaTheme="minorHAnsi" w:hAnsi="Garamond" w:cstheme="majorHAnsi"/>
                <w:color w:val="000000"/>
                <w:sz w:val="24"/>
                <w:szCs w:val="24"/>
                <w:lang w:val="zh-CN"/>
              </w:rPr>
            </w:pPr>
          </w:p>
        </w:tc>
        <w:tc>
          <w:tcPr>
            <w:tcW w:w="5812" w:type="dxa"/>
            <w:vAlign w:val="center"/>
          </w:tcPr>
          <w:p w:rsidR="003B5EBC" w:rsidRDefault="003B5EBC">
            <w:pPr>
              <w:pStyle w:val="TableParagraph"/>
              <w:rPr>
                <w:rFonts w:ascii="Garamond" w:hAnsi="Garamond"/>
                <w:sz w:val="24"/>
                <w:szCs w:val="24"/>
              </w:rPr>
            </w:pPr>
          </w:p>
          <w:p w:rsidR="003B5EBC" w:rsidRDefault="00A1518B">
            <w:pPr>
              <w:pStyle w:val="TableParagraph"/>
              <w:rPr>
                <w:rFonts w:ascii="Garamond" w:eastAsiaTheme="minorHAnsi" w:hAnsi="Garamond" w:cstheme="majorHAnsi"/>
                <w:color w:val="000000"/>
                <w:sz w:val="24"/>
                <w:szCs w:val="24"/>
                <w:lang w:val="zh-CN"/>
              </w:rPr>
            </w:pPr>
            <w:r>
              <w:rPr>
                <w:rFonts w:ascii="Garamond" w:eastAsiaTheme="minorHAnsi" w:hAnsi="Garamond" w:cstheme="majorHAnsi"/>
                <w:b/>
                <w:bCs/>
                <w:color w:val="000000"/>
                <w:sz w:val="24"/>
                <w:szCs w:val="24"/>
                <w:lang w:val="zh-CN"/>
              </w:rPr>
              <w:t>Expérience dans la conception et la mise en œuvre de réformes administratives, incluant la dématérialisation des services publics.</w:t>
            </w:r>
            <w:r>
              <w:rPr>
                <w:rFonts w:ascii="Garamond" w:eastAsiaTheme="minorHAnsi" w:hAnsi="Garamond" w:cstheme="majorHAnsi"/>
                <w:color w:val="000000"/>
                <w:sz w:val="24"/>
                <w:szCs w:val="24"/>
                <w:lang w:val="zh-CN"/>
              </w:rPr>
              <w:t xml:space="preserve"> </w:t>
            </w:r>
            <w:r>
              <w:rPr>
                <w:rFonts w:ascii="Garamond" w:eastAsiaTheme="minorHAnsi" w:hAnsi="Garamond" w:cstheme="majorHAnsi"/>
                <w:color w:val="000000"/>
                <w:sz w:val="24"/>
                <w:szCs w:val="24"/>
                <w:lang w:val="zh-CN"/>
              </w:rPr>
              <w:br/>
              <w:t xml:space="preserve">• Moins de 5 ans : 0 point </w:t>
            </w:r>
            <w:r>
              <w:rPr>
                <w:rFonts w:ascii="Garamond" w:eastAsiaTheme="minorHAnsi" w:hAnsi="Garamond" w:cstheme="majorHAnsi"/>
                <w:color w:val="000000"/>
                <w:sz w:val="24"/>
                <w:szCs w:val="24"/>
                <w:lang w:val="zh-CN"/>
              </w:rPr>
              <w:br/>
              <w:t>• 5 ans et plus : 1 point par année, plafonné à 5 points</w:t>
            </w:r>
          </w:p>
          <w:p w:rsidR="003B5EBC" w:rsidRDefault="003B5EBC">
            <w:pPr>
              <w:pStyle w:val="TableParagraph"/>
              <w:rPr>
                <w:rFonts w:ascii="Garamond" w:eastAsiaTheme="minorHAnsi" w:hAnsi="Garamond" w:cstheme="majorHAnsi"/>
                <w:color w:val="000000"/>
                <w:sz w:val="24"/>
                <w:szCs w:val="24"/>
                <w:lang w:val="zh-CN"/>
              </w:rPr>
            </w:pPr>
          </w:p>
        </w:tc>
        <w:tc>
          <w:tcPr>
            <w:tcW w:w="992" w:type="dxa"/>
            <w:vAlign w:val="center"/>
          </w:tcPr>
          <w:p w:rsidR="003B5EBC" w:rsidRDefault="00A1518B">
            <w:pPr>
              <w:pStyle w:val="TableParagraph"/>
              <w:tabs>
                <w:tab w:val="left" w:pos="186"/>
              </w:tabs>
              <w:spacing w:before="89" w:line="277" w:lineRule="exact"/>
              <w:ind w:left="113"/>
              <w:jc w:val="center"/>
              <w:rPr>
                <w:rFonts w:ascii="Garamond" w:eastAsiaTheme="minorHAnsi" w:hAnsi="Garamond" w:cstheme="majorHAnsi"/>
                <w:color w:val="000000"/>
                <w:sz w:val="24"/>
                <w:szCs w:val="24"/>
                <w:lang w:val="zh-CN"/>
              </w:rPr>
            </w:pPr>
            <w:r>
              <w:rPr>
                <w:rFonts w:ascii="Garamond" w:hAnsi="Garamond"/>
                <w:sz w:val="24"/>
                <w:szCs w:val="24"/>
              </w:rPr>
              <w:t>5</w:t>
            </w:r>
          </w:p>
        </w:tc>
        <w:tc>
          <w:tcPr>
            <w:tcW w:w="1706" w:type="dxa"/>
            <w:gridSpan w:val="2"/>
            <w:vMerge/>
          </w:tcPr>
          <w:p w:rsidR="003B5EBC" w:rsidRDefault="003B5EBC">
            <w:pPr>
              <w:pStyle w:val="TableParagraph"/>
              <w:numPr>
                <w:ilvl w:val="0"/>
                <w:numId w:val="49"/>
              </w:numPr>
              <w:spacing w:line="275" w:lineRule="exact"/>
              <w:rPr>
                <w:rFonts w:ascii="Garamond" w:eastAsiaTheme="minorHAnsi" w:hAnsi="Garamond" w:cstheme="majorHAnsi"/>
                <w:color w:val="000000"/>
                <w:sz w:val="24"/>
                <w:szCs w:val="24"/>
                <w:lang w:val="zh-CN"/>
              </w:rPr>
            </w:pPr>
          </w:p>
        </w:tc>
      </w:tr>
      <w:tr w:rsidR="003B5EBC">
        <w:trPr>
          <w:gridAfter w:val="1"/>
          <w:wAfter w:w="7" w:type="dxa"/>
        </w:trPr>
        <w:tc>
          <w:tcPr>
            <w:tcW w:w="8945" w:type="dxa"/>
            <w:gridSpan w:val="4"/>
            <w:shd w:val="clear" w:color="auto" w:fill="EDEDED" w:themeFill="accent3" w:themeFillTint="33"/>
            <w:vAlign w:val="center"/>
          </w:tcPr>
          <w:p w:rsidR="003B5EBC" w:rsidRDefault="00A1518B">
            <w:pPr>
              <w:pStyle w:val="TableParagraph"/>
              <w:tabs>
                <w:tab w:val="left" w:pos="186"/>
              </w:tabs>
              <w:spacing w:before="89" w:line="277" w:lineRule="exact"/>
              <w:ind w:left="113"/>
              <w:rPr>
                <w:rFonts w:ascii="Garamond" w:hAnsi="Garamond"/>
                <w:color w:val="1F4E79"/>
                <w:sz w:val="24"/>
                <w:szCs w:val="24"/>
              </w:rPr>
            </w:pPr>
            <w:r>
              <w:rPr>
                <w:rFonts w:ascii="Garamond" w:hAnsi="Garamond"/>
                <w:color w:val="1F4E79"/>
                <w:sz w:val="24"/>
                <w:szCs w:val="24"/>
                <w:lang w:val="zh-CN"/>
              </w:rPr>
              <w:t>Total Expert 3 — Consultant en politique publique et numérisation des processus gouvernementaux</w:t>
            </w:r>
          </w:p>
        </w:tc>
        <w:tc>
          <w:tcPr>
            <w:tcW w:w="1706" w:type="dxa"/>
            <w:gridSpan w:val="2"/>
          </w:tcPr>
          <w:p w:rsidR="003B5EBC" w:rsidRDefault="003B5EBC">
            <w:pPr>
              <w:pStyle w:val="TableParagraph"/>
              <w:spacing w:line="275" w:lineRule="exact"/>
              <w:ind w:left="113"/>
              <w:rPr>
                <w:rFonts w:ascii="Garamond" w:eastAsiaTheme="minorHAnsi" w:hAnsi="Garamond" w:cstheme="majorHAnsi"/>
                <w:color w:val="000000"/>
                <w:sz w:val="24"/>
                <w:szCs w:val="24"/>
                <w:lang w:val="zh-CN"/>
              </w:rPr>
            </w:pPr>
          </w:p>
          <w:p w:rsidR="003B5EBC" w:rsidRDefault="00A1518B">
            <w:pPr>
              <w:pStyle w:val="TableParagraph"/>
              <w:spacing w:line="275" w:lineRule="exact"/>
              <w:rPr>
                <w:rFonts w:ascii="Garamond" w:eastAsiaTheme="minorHAnsi" w:hAnsi="Garamond" w:cstheme="majorHAnsi"/>
                <w:color w:val="000000"/>
                <w:sz w:val="24"/>
                <w:szCs w:val="24"/>
                <w:lang w:val="zh-CN"/>
              </w:rPr>
            </w:pPr>
            <w:r>
              <w:rPr>
                <w:rFonts w:ascii="Garamond" w:eastAsiaTheme="minorHAnsi" w:hAnsi="Garamond" w:cstheme="majorHAnsi"/>
                <w:color w:val="000000"/>
                <w:sz w:val="24"/>
                <w:szCs w:val="24"/>
                <w:lang w:val="zh-CN"/>
              </w:rPr>
              <w:t>… / 20 Points</w:t>
            </w:r>
          </w:p>
        </w:tc>
      </w:tr>
      <w:tr w:rsidR="003B5EBC">
        <w:tc>
          <w:tcPr>
            <w:tcW w:w="8945" w:type="dxa"/>
            <w:gridSpan w:val="4"/>
          </w:tcPr>
          <w:p w:rsidR="003B5EBC" w:rsidRDefault="00A1518B">
            <w:pPr>
              <w:pStyle w:val="Default"/>
              <w:jc w:val="center"/>
              <w:rPr>
                <w:rFonts w:ascii="Garamond" w:hAnsi="Garamond" w:cstheme="majorHAnsi"/>
                <w:b/>
                <w:bCs/>
                <w:lang w:val="zh-CN"/>
              </w:rPr>
            </w:pPr>
            <w:r>
              <w:rPr>
                <w:rFonts w:ascii="Garamond" w:hAnsi="Garamond" w:cstheme="majorHAnsi"/>
                <w:b/>
                <w:bCs/>
                <w:lang w:val="zh-CN"/>
              </w:rPr>
              <w:t>Total (C2)</w:t>
            </w:r>
          </w:p>
        </w:tc>
        <w:tc>
          <w:tcPr>
            <w:tcW w:w="1713" w:type="dxa"/>
            <w:gridSpan w:val="3"/>
          </w:tcPr>
          <w:p w:rsidR="003B5EBC" w:rsidRDefault="00A1518B">
            <w:pPr>
              <w:pStyle w:val="Default"/>
              <w:jc w:val="center"/>
              <w:rPr>
                <w:rFonts w:ascii="Garamond" w:hAnsi="Garamond" w:cstheme="majorHAnsi"/>
                <w:b/>
                <w:bCs/>
                <w:lang w:val="zh-CN"/>
              </w:rPr>
            </w:pPr>
            <w:r>
              <w:rPr>
                <w:rFonts w:ascii="Garamond" w:hAnsi="Garamond" w:cstheme="majorHAnsi"/>
                <w:b/>
                <w:bCs/>
                <w:lang w:val="zh-CN"/>
              </w:rPr>
              <w:t>…../70</w:t>
            </w:r>
          </w:p>
        </w:tc>
      </w:tr>
      <w:tr w:rsidR="003B5EBC">
        <w:tc>
          <w:tcPr>
            <w:tcW w:w="8945" w:type="dxa"/>
            <w:gridSpan w:val="4"/>
          </w:tcPr>
          <w:p w:rsidR="003B5EBC" w:rsidRDefault="00A1518B">
            <w:pPr>
              <w:pStyle w:val="Default"/>
              <w:jc w:val="center"/>
              <w:rPr>
                <w:rFonts w:ascii="Garamond" w:hAnsi="Garamond" w:cstheme="majorHAnsi"/>
                <w:b/>
                <w:bCs/>
                <w:lang w:val="zh-CN"/>
              </w:rPr>
            </w:pPr>
            <w:r>
              <w:rPr>
                <w:rFonts w:ascii="Garamond" w:hAnsi="Garamond" w:cstheme="majorHAnsi"/>
                <w:b/>
                <w:bCs/>
                <w:lang w:val="zh-CN"/>
              </w:rPr>
              <w:t>Total global Nt</w:t>
            </w:r>
          </w:p>
        </w:tc>
        <w:tc>
          <w:tcPr>
            <w:tcW w:w="1713" w:type="dxa"/>
            <w:gridSpan w:val="3"/>
          </w:tcPr>
          <w:p w:rsidR="003B5EBC" w:rsidRDefault="00A1518B">
            <w:pPr>
              <w:pStyle w:val="Default"/>
              <w:jc w:val="center"/>
              <w:rPr>
                <w:rFonts w:ascii="Garamond" w:hAnsi="Garamond" w:cstheme="majorHAnsi"/>
                <w:b/>
                <w:bCs/>
                <w:lang w:val="zh-CN"/>
              </w:rPr>
            </w:pPr>
            <w:r>
              <w:rPr>
                <w:rFonts w:ascii="Garamond" w:hAnsi="Garamond" w:cstheme="majorHAnsi"/>
                <w:b/>
                <w:bCs/>
                <w:lang w:val="zh-CN"/>
              </w:rPr>
              <w:t>…../100</w:t>
            </w:r>
          </w:p>
        </w:tc>
      </w:tr>
    </w:tbl>
    <w:p w:rsidR="003B5EBC" w:rsidRDefault="00A1518B">
      <w:pPr>
        <w:pStyle w:val="Default"/>
        <w:spacing w:before="120" w:after="120"/>
        <w:jc w:val="both"/>
        <w:rPr>
          <w:rFonts w:ascii="Garamond" w:hAnsi="Garamond" w:cstheme="majorBidi"/>
          <w:lang w:val="zh-CN"/>
        </w:rPr>
      </w:pPr>
      <w:r>
        <w:rPr>
          <w:rFonts w:ascii="Garamond" w:hAnsi="Garamond" w:cstheme="majorBidi"/>
          <w:b/>
          <w:bCs/>
          <w:lang w:val="zh-CN"/>
        </w:rPr>
        <w:t>Motifs d’élimination des offres techniques :</w:t>
      </w:r>
      <w:r>
        <w:rPr>
          <w:rFonts w:ascii="Garamond" w:hAnsi="Garamond" w:cstheme="majorBidi"/>
          <w:lang w:val="zh-CN"/>
        </w:rPr>
        <w:t xml:space="preserve"> </w:t>
      </w:r>
    </w:p>
    <w:p w:rsidR="003B5EBC" w:rsidRDefault="00A1518B">
      <w:pPr>
        <w:pStyle w:val="Default"/>
        <w:tabs>
          <w:tab w:val="left" w:pos="142"/>
        </w:tabs>
        <w:ind w:left="-142"/>
        <w:jc w:val="both"/>
        <w:rPr>
          <w:rFonts w:ascii="Garamond" w:hAnsi="Garamond" w:cstheme="majorBidi"/>
          <w:lang w:val="zh-CN"/>
        </w:rPr>
      </w:pPr>
      <w:r>
        <w:rPr>
          <w:rFonts w:ascii="Garamond" w:hAnsi="Garamond" w:cstheme="majorBidi"/>
          <w:lang w:val="zh-CN"/>
        </w:rPr>
        <w:t>1.</w:t>
      </w:r>
      <w:r>
        <w:rPr>
          <w:rFonts w:ascii="Garamond" w:hAnsi="Garamond" w:cstheme="majorBidi"/>
          <w:lang w:val="zh-CN"/>
        </w:rPr>
        <w:tab/>
        <w:t>Absence de l’une des pièces constituant l’offre technique ;</w:t>
      </w:r>
    </w:p>
    <w:p w:rsidR="003B5EBC" w:rsidRDefault="00A1518B">
      <w:pPr>
        <w:pStyle w:val="Default"/>
        <w:tabs>
          <w:tab w:val="left" w:pos="142"/>
        </w:tabs>
        <w:ind w:left="-142"/>
        <w:jc w:val="both"/>
        <w:rPr>
          <w:rFonts w:ascii="Garamond" w:hAnsi="Garamond" w:cstheme="majorBidi"/>
          <w:lang w:val="zh-CN"/>
        </w:rPr>
      </w:pPr>
      <w:r>
        <w:rPr>
          <w:rFonts w:ascii="Garamond" w:hAnsi="Garamond" w:cstheme="majorBidi"/>
          <w:lang w:val="zh-CN"/>
        </w:rPr>
        <w:t>2.</w:t>
      </w:r>
      <w:r>
        <w:rPr>
          <w:rFonts w:ascii="Garamond" w:hAnsi="Garamond" w:cstheme="majorBidi"/>
          <w:lang w:val="zh-CN"/>
        </w:rPr>
        <w:tab/>
        <w:t xml:space="preserve">L’obtention </w:t>
      </w:r>
      <w:r>
        <w:rPr>
          <w:rFonts w:ascii="Garamond" w:hAnsi="Garamond" w:cstheme="majorBidi"/>
        </w:rPr>
        <w:t>d'une note technique globale strictement inférieure à 70/100 points</w:t>
      </w:r>
      <w:r>
        <w:rPr>
          <w:rFonts w:ascii="Garamond" w:hAnsi="Garamond" w:cstheme="majorBidi"/>
          <w:lang w:val="zh-CN"/>
        </w:rPr>
        <w:t>;</w:t>
      </w:r>
    </w:p>
    <w:p w:rsidR="003B5EBC" w:rsidRDefault="00A1518B">
      <w:pPr>
        <w:pStyle w:val="Default"/>
        <w:tabs>
          <w:tab w:val="left" w:pos="142"/>
        </w:tabs>
        <w:ind w:left="-142"/>
        <w:jc w:val="both"/>
        <w:rPr>
          <w:rFonts w:ascii="Garamond" w:hAnsi="Garamond" w:cstheme="majorBidi"/>
          <w:lang w:val="zh-CN"/>
        </w:rPr>
      </w:pPr>
      <w:r>
        <w:rPr>
          <w:rFonts w:ascii="Garamond" w:hAnsi="Garamond" w:cstheme="majorBidi"/>
          <w:lang w:val="zh-CN"/>
        </w:rPr>
        <w:t>3.</w:t>
      </w:r>
      <w:r>
        <w:rPr>
          <w:rFonts w:ascii="Garamond" w:hAnsi="Garamond" w:cstheme="majorBidi"/>
          <w:lang w:val="zh-CN"/>
        </w:rPr>
        <w:tab/>
        <w:t>En cas de manque d’un profil dans l’équipe ;</w:t>
      </w:r>
    </w:p>
    <w:p w:rsidR="003B5EBC" w:rsidRPr="00C00FCA" w:rsidRDefault="003B5EBC">
      <w:pPr>
        <w:rPr>
          <w:rFonts w:asciiTheme="majorBidi" w:hAnsiTheme="majorBidi" w:cstheme="majorBidi"/>
          <w:color w:val="0070C0"/>
          <w:sz w:val="24"/>
          <w:szCs w:val="24"/>
          <w:u w:val="single"/>
          <w:lang w:val="fr-FR"/>
        </w:rPr>
      </w:pPr>
    </w:p>
    <w:p w:rsidR="003B5EBC" w:rsidRDefault="00A1518B">
      <w:pPr>
        <w:ind w:left="-142"/>
        <w:rPr>
          <w:rFonts w:ascii="Garamond" w:hAnsi="Garamond" w:cstheme="majorBidi"/>
          <w:color w:val="1F4E79" w:themeColor="accent1" w:themeShade="80"/>
          <w:sz w:val="24"/>
          <w:szCs w:val="24"/>
          <w:u w:val="single"/>
        </w:rPr>
      </w:pPr>
      <w:r>
        <w:rPr>
          <w:rFonts w:ascii="Garamond" w:hAnsi="Garamond" w:cstheme="majorBidi"/>
          <w:color w:val="1F4E79" w:themeColor="accent1" w:themeShade="80"/>
          <w:sz w:val="24"/>
          <w:szCs w:val="24"/>
          <w:u w:val="single"/>
        </w:rPr>
        <w:t>Etape 3 : Evaluation financière sur la base de « l’offre financière » pour les offres ayant été retenues au titre de l’étape 2</w:t>
      </w:r>
    </w:p>
    <w:p w:rsidR="003B5EBC" w:rsidRDefault="00A1518B">
      <w:pPr>
        <w:ind w:left="-142"/>
        <w:rPr>
          <w:rFonts w:ascii="Garamond" w:hAnsi="Garamond" w:cstheme="majorBidi"/>
          <w:color w:val="000000"/>
          <w:sz w:val="24"/>
          <w:szCs w:val="24"/>
        </w:rPr>
      </w:pPr>
      <w:r>
        <w:rPr>
          <w:rFonts w:ascii="Garamond" w:hAnsi="Garamond" w:cstheme="majorBidi"/>
          <w:color w:val="000000"/>
          <w:sz w:val="24"/>
          <w:szCs w:val="24"/>
        </w:rPr>
        <w:t>Seules les offres ayant été retenues au terme de l’étape 2 seront éligibles à l’évaluation financière.</w:t>
      </w:r>
    </w:p>
    <w:p w:rsidR="003B5EBC" w:rsidRDefault="00A1518B">
      <w:pPr>
        <w:ind w:left="-142"/>
        <w:rPr>
          <w:rFonts w:ascii="Garamond" w:hAnsi="Garamond" w:cstheme="majorBidi"/>
          <w:color w:val="000000"/>
          <w:sz w:val="24"/>
          <w:szCs w:val="24"/>
        </w:rPr>
      </w:pPr>
      <w:r>
        <w:rPr>
          <w:rFonts w:ascii="Garamond" w:hAnsi="Garamond" w:cstheme="majorBidi"/>
          <w:color w:val="000000"/>
          <w:sz w:val="24"/>
          <w:szCs w:val="24"/>
        </w:rPr>
        <w:t xml:space="preserve">Il sera retenu le concurrent ayant présenté l’offre </w:t>
      </w:r>
      <w:bookmarkStart w:id="2" w:name="_Hlk184334733"/>
      <w:r>
        <w:rPr>
          <w:rFonts w:ascii="Garamond" w:hAnsi="Garamond" w:cstheme="majorBidi"/>
          <w:color w:val="000000"/>
          <w:sz w:val="24"/>
          <w:szCs w:val="24"/>
        </w:rPr>
        <w:t>la mieux-disante</w:t>
      </w:r>
      <w:bookmarkEnd w:id="2"/>
      <w:r>
        <w:rPr>
          <w:rFonts w:ascii="Garamond" w:hAnsi="Garamond" w:cstheme="majorBidi"/>
          <w:color w:val="000000"/>
          <w:sz w:val="24"/>
          <w:szCs w:val="24"/>
        </w:rPr>
        <w:t>, correspondant à la note globale (Ng) la plus élevée déterminée comme suit :</w:t>
      </w:r>
    </w:p>
    <w:p w:rsidR="003B5EBC" w:rsidRDefault="00A1518B">
      <w:pPr>
        <w:ind w:left="-142"/>
        <w:jc w:val="center"/>
        <w:rPr>
          <w:rFonts w:ascii="Garamond" w:hAnsi="Garamond" w:cstheme="majorBidi"/>
          <w:b/>
          <w:bCs/>
          <w:color w:val="000000"/>
          <w:sz w:val="24"/>
          <w:szCs w:val="24"/>
        </w:rPr>
      </w:pPr>
      <w:r>
        <w:rPr>
          <w:rFonts w:ascii="Garamond" w:hAnsi="Garamond" w:cstheme="majorBidi"/>
          <w:b/>
          <w:bCs/>
          <w:color w:val="000000"/>
          <w:sz w:val="24"/>
          <w:szCs w:val="24"/>
        </w:rPr>
        <w:t>Ng = Nt x 0.7 + Nf x 0.3</w:t>
      </w:r>
    </w:p>
    <w:p w:rsidR="003B5EBC" w:rsidRDefault="00A1518B">
      <w:pPr>
        <w:ind w:left="-142"/>
        <w:rPr>
          <w:rFonts w:ascii="Garamond" w:hAnsi="Garamond" w:cstheme="majorBidi"/>
          <w:color w:val="000000"/>
          <w:sz w:val="24"/>
          <w:szCs w:val="24"/>
        </w:rPr>
      </w:pPr>
      <w:r>
        <w:rPr>
          <w:rFonts w:ascii="Garamond" w:hAnsi="Garamond" w:cstheme="majorBidi"/>
          <w:color w:val="000000"/>
          <w:sz w:val="24"/>
          <w:szCs w:val="24"/>
        </w:rPr>
        <w:t xml:space="preserve">Nt étant la note technique obtenue au titre de l’étape 2 et Nf la note financière calculée comme suit </w:t>
      </w:r>
    </w:p>
    <w:p w:rsidR="003B5EBC" w:rsidRDefault="00A1518B">
      <w:pPr>
        <w:ind w:left="-142"/>
        <w:jc w:val="center"/>
        <w:rPr>
          <w:rFonts w:ascii="Garamond" w:hAnsi="Garamond" w:cstheme="majorBidi"/>
          <w:b/>
          <w:bCs/>
          <w:color w:val="000000"/>
          <w:sz w:val="24"/>
          <w:szCs w:val="24"/>
        </w:rPr>
      </w:pPr>
      <w:r>
        <w:rPr>
          <w:rFonts w:ascii="Garamond" w:hAnsi="Garamond" w:cstheme="majorBidi"/>
          <w:b/>
          <w:bCs/>
          <w:color w:val="000000"/>
          <w:sz w:val="24"/>
          <w:szCs w:val="24"/>
        </w:rPr>
        <w:t xml:space="preserve">Nf = 100 x Fo / F </w:t>
      </w:r>
    </w:p>
    <w:p w:rsidR="003B5EBC" w:rsidRDefault="00A1518B">
      <w:pPr>
        <w:ind w:left="-142"/>
        <w:rPr>
          <w:rFonts w:ascii="Garamond" w:hAnsi="Garamond" w:cstheme="majorBidi"/>
          <w:color w:val="000000"/>
          <w:sz w:val="24"/>
          <w:szCs w:val="24"/>
        </w:rPr>
      </w:pPr>
      <w:r>
        <w:rPr>
          <w:rFonts w:ascii="Garamond" w:hAnsi="Garamond" w:cstheme="majorBidi"/>
          <w:color w:val="000000"/>
          <w:sz w:val="24"/>
          <w:szCs w:val="24"/>
        </w:rPr>
        <w:t>Où : Fo est le montant de l'offre la moins-disante,</w:t>
      </w:r>
    </w:p>
    <w:p w:rsidR="003B5EBC" w:rsidRDefault="00A1518B">
      <w:pPr>
        <w:ind w:left="-142"/>
        <w:jc w:val="both"/>
        <w:rPr>
          <w:rFonts w:ascii="Garamond" w:hAnsi="Garamond" w:cstheme="majorBidi"/>
          <w:color w:val="000000"/>
          <w:sz w:val="24"/>
          <w:szCs w:val="24"/>
        </w:rPr>
      </w:pPr>
      <w:r>
        <w:rPr>
          <w:rFonts w:ascii="Garamond" w:hAnsi="Garamond" w:cstheme="majorBidi"/>
          <w:color w:val="000000"/>
          <w:sz w:val="24"/>
          <w:szCs w:val="24"/>
        </w:rPr>
        <w:t>F le montant de l'offre du concurrent</w:t>
      </w:r>
    </w:p>
    <w:p w:rsidR="003B5EBC" w:rsidRDefault="003B5EBC">
      <w:pPr>
        <w:jc w:val="center"/>
        <w:rPr>
          <w:rFonts w:ascii="Calisto MT" w:hAnsi="Calisto MT" w:cstheme="majorHAnsi"/>
          <w:sz w:val="24"/>
          <w:szCs w:val="24"/>
        </w:rPr>
      </w:pPr>
    </w:p>
    <w:p w:rsidR="003B5EBC" w:rsidRDefault="00A1518B">
      <w:pPr>
        <w:pStyle w:val="Titre1"/>
        <w:rPr>
          <w:rFonts w:ascii="Garamond" w:hAnsi="Garamond"/>
          <w:b/>
          <w:bCs/>
          <w:color w:val="auto"/>
          <w:sz w:val="28"/>
          <w:szCs w:val="28"/>
          <w:lang w:val="fr-FR"/>
        </w:rPr>
      </w:pPr>
      <w:r>
        <w:rPr>
          <w:rFonts w:ascii="Garamond" w:hAnsi="Garamond"/>
          <w:b/>
          <w:bCs/>
          <w:color w:val="auto"/>
          <w:sz w:val="28"/>
          <w:szCs w:val="28"/>
          <w:lang w:val="fr-FR"/>
        </w:rPr>
        <w:t>Annexes</w:t>
      </w:r>
    </w:p>
    <w:p w:rsidR="003B5EBC" w:rsidRDefault="003B5EBC">
      <w:pPr>
        <w:spacing w:after="50"/>
        <w:rPr>
          <w:lang w:val="fr-FR"/>
        </w:rPr>
      </w:pPr>
    </w:p>
    <w:p w:rsidR="003B5EBC" w:rsidRDefault="00A1518B">
      <w:pPr>
        <w:pStyle w:val="Titre2"/>
        <w:rPr>
          <w:rFonts w:ascii="Garamond" w:hAnsi="Garamond" w:cstheme="majorBidi"/>
          <w:b w:val="0"/>
          <w:bCs w:val="0"/>
        </w:rPr>
      </w:pPr>
      <w:r>
        <w:rPr>
          <w:rFonts w:ascii="Garamond" w:hAnsi="Garamond" w:cstheme="majorBidi"/>
        </w:rPr>
        <w:t xml:space="preserve">Annexe 1 — Déclaration sur l'honneur : </w:t>
      </w:r>
      <w:r>
        <w:rPr>
          <w:rFonts w:ascii="Garamond" w:hAnsi="Garamond" w:cstheme="majorBidi"/>
          <w:b w:val="0"/>
          <w:bCs w:val="0"/>
        </w:rPr>
        <w:t>(Document standard PNUD/Département du Développement Durable — à joindre au dossier de soumission).</w:t>
      </w:r>
    </w:p>
    <w:p w:rsidR="003B5EBC" w:rsidRDefault="003B5EBC">
      <w:pPr>
        <w:spacing w:after="100"/>
        <w:rPr>
          <w:rFonts w:ascii="Garamond" w:hAnsi="Garamond" w:cstheme="majorBidi"/>
          <w:sz w:val="24"/>
          <w:szCs w:val="24"/>
          <w:lang w:val="fr-FR"/>
        </w:rPr>
      </w:pPr>
    </w:p>
    <w:p w:rsidR="003B5EBC" w:rsidRDefault="00A1518B">
      <w:pPr>
        <w:pStyle w:val="Titre2"/>
        <w:rPr>
          <w:rFonts w:ascii="Garamond" w:hAnsi="Garamond" w:cstheme="majorBidi"/>
        </w:rPr>
      </w:pPr>
      <w:r>
        <w:rPr>
          <w:rFonts w:ascii="Garamond" w:hAnsi="Garamond" w:cstheme="majorBidi"/>
        </w:rPr>
        <w:t xml:space="preserve">Annexe 2 — Acte d'engagement : </w:t>
      </w:r>
      <w:r>
        <w:rPr>
          <w:rFonts w:ascii="Garamond" w:hAnsi="Garamond" w:cstheme="majorBidi"/>
          <w:b w:val="0"/>
          <w:bCs w:val="0"/>
        </w:rPr>
        <w:t>(Document standard PNUD/Département du Développement Durable — à joindre au dossier de soumission).</w:t>
      </w:r>
    </w:p>
    <w:p w:rsidR="003B5EBC" w:rsidRDefault="003B5EBC">
      <w:pPr>
        <w:rPr>
          <w:rFonts w:ascii="Calisto MT" w:hAnsi="Calisto MT" w:cstheme="majorHAnsi"/>
          <w:sz w:val="24"/>
          <w:szCs w:val="24"/>
          <w:lang w:val="fr-FR"/>
        </w:rPr>
      </w:pPr>
    </w:p>
    <w:p w:rsidR="003B5EBC" w:rsidRDefault="00A1518B">
      <w:pPr>
        <w:jc w:val="center"/>
        <w:rPr>
          <w:rFonts w:ascii="Garamond" w:hAnsi="Garamond"/>
          <w:spacing w:val="1"/>
          <w:sz w:val="28"/>
          <w:szCs w:val="28"/>
        </w:rPr>
      </w:pPr>
      <w:r>
        <w:rPr>
          <w:rFonts w:ascii="Calisto MT" w:hAnsi="Calisto MT" w:cstheme="majorHAnsi"/>
          <w:sz w:val="24"/>
          <w:szCs w:val="24"/>
        </w:rPr>
        <w:br w:type="page"/>
      </w:r>
      <w:r>
        <w:rPr>
          <w:rFonts w:ascii="Garamond" w:hAnsi="Garamond"/>
          <w:sz w:val="28"/>
          <w:szCs w:val="28"/>
          <w:u w:val="thick"/>
        </w:rPr>
        <w:lastRenderedPageBreak/>
        <w:t>ANNEXE 1</w:t>
      </w:r>
    </w:p>
    <w:p w:rsidR="003B5EBC" w:rsidRDefault="00A1518B">
      <w:pPr>
        <w:pStyle w:val="Titre2"/>
        <w:spacing w:before="77" w:line="451" w:lineRule="auto"/>
        <w:ind w:left="1985" w:right="1893"/>
        <w:jc w:val="center"/>
        <w:rPr>
          <w:rFonts w:ascii="Garamond" w:hAnsi="Garamond"/>
          <w:sz w:val="28"/>
          <w:szCs w:val="28"/>
          <w:u w:val="thick"/>
          <w:lang w:val="zh-CN"/>
        </w:rPr>
      </w:pPr>
      <w:r>
        <w:rPr>
          <w:rFonts w:ascii="Garamond" w:hAnsi="Garamond"/>
          <w:sz w:val="28"/>
          <w:szCs w:val="28"/>
          <w:u w:val="thick"/>
          <w:lang w:val="zh-CN"/>
        </w:rPr>
        <w:t>DÉCLARATION</w:t>
      </w:r>
      <w:r>
        <w:rPr>
          <w:rFonts w:ascii="Garamond" w:hAnsi="Garamond"/>
          <w:spacing w:val="-7"/>
          <w:sz w:val="28"/>
          <w:szCs w:val="28"/>
          <w:u w:val="thick"/>
          <w:lang w:val="zh-CN"/>
        </w:rPr>
        <w:t xml:space="preserve"> </w:t>
      </w:r>
      <w:r>
        <w:rPr>
          <w:rFonts w:ascii="Garamond" w:hAnsi="Garamond"/>
          <w:sz w:val="28"/>
          <w:szCs w:val="28"/>
          <w:u w:val="thick"/>
          <w:lang w:val="zh-CN"/>
        </w:rPr>
        <w:t>SUR L’HONNEUR</w:t>
      </w:r>
    </w:p>
    <w:p w:rsidR="003B5EBC" w:rsidRDefault="003B5EBC">
      <w:pPr>
        <w:pStyle w:val="Corpsdetexte"/>
        <w:spacing w:before="6"/>
        <w:rPr>
          <w:rFonts w:ascii="Calisto MT" w:hAnsi="Calisto MT"/>
          <w:b/>
          <w:sz w:val="2"/>
          <w:szCs w:val="4"/>
        </w:rPr>
      </w:pPr>
    </w:p>
    <w:p w:rsidR="003B5EBC" w:rsidRDefault="00A1518B">
      <w:pPr>
        <w:spacing w:before="91" w:line="252" w:lineRule="exact"/>
        <w:ind w:left="169"/>
        <w:jc w:val="both"/>
        <w:rPr>
          <w:rFonts w:ascii="Garamond" w:hAnsi="Garamond"/>
          <w:b/>
          <w:sz w:val="24"/>
          <w:szCs w:val="24"/>
        </w:rPr>
      </w:pPr>
      <w:r>
        <w:rPr>
          <w:rFonts w:ascii="Garamond" w:hAnsi="Garamond"/>
          <w:sz w:val="24"/>
          <w:szCs w:val="24"/>
        </w:rPr>
        <w:t>Mode</w:t>
      </w:r>
      <w:r>
        <w:rPr>
          <w:rFonts w:ascii="Garamond" w:hAnsi="Garamond"/>
          <w:spacing w:val="-3"/>
          <w:sz w:val="24"/>
          <w:szCs w:val="24"/>
        </w:rPr>
        <w:t xml:space="preserve"> </w:t>
      </w:r>
      <w:r>
        <w:rPr>
          <w:rFonts w:ascii="Garamond" w:hAnsi="Garamond"/>
          <w:sz w:val="24"/>
          <w:szCs w:val="24"/>
        </w:rPr>
        <w:t>de</w:t>
      </w:r>
      <w:r>
        <w:rPr>
          <w:rFonts w:ascii="Garamond" w:hAnsi="Garamond"/>
          <w:spacing w:val="-2"/>
          <w:sz w:val="24"/>
          <w:szCs w:val="24"/>
        </w:rPr>
        <w:t xml:space="preserve"> </w:t>
      </w:r>
      <w:r>
        <w:rPr>
          <w:rFonts w:ascii="Garamond" w:hAnsi="Garamond"/>
          <w:sz w:val="24"/>
          <w:szCs w:val="24"/>
        </w:rPr>
        <w:t>passation</w:t>
      </w:r>
      <w:r>
        <w:rPr>
          <w:rFonts w:ascii="Garamond" w:hAnsi="Garamond"/>
          <w:spacing w:val="-2"/>
          <w:sz w:val="24"/>
          <w:szCs w:val="24"/>
        </w:rPr>
        <w:t xml:space="preserve"> </w:t>
      </w:r>
      <w:r>
        <w:rPr>
          <w:rFonts w:ascii="Garamond" w:hAnsi="Garamond"/>
          <w:sz w:val="24"/>
          <w:szCs w:val="24"/>
        </w:rPr>
        <w:t xml:space="preserve">: </w:t>
      </w:r>
      <w:r>
        <w:rPr>
          <w:rFonts w:ascii="Garamond" w:hAnsi="Garamond"/>
          <w:b/>
          <w:sz w:val="24"/>
          <w:szCs w:val="24"/>
        </w:rPr>
        <w:t xml:space="preserve">Appel à consultation ouvert </w:t>
      </w:r>
    </w:p>
    <w:p w:rsidR="003B5EBC" w:rsidRDefault="00A1518B">
      <w:pPr>
        <w:spacing w:before="91" w:line="252" w:lineRule="exact"/>
        <w:ind w:left="169"/>
        <w:jc w:val="both"/>
        <w:rPr>
          <w:rFonts w:ascii="Garamond" w:hAnsi="Garamond" w:cs="Helvetica"/>
          <w:b/>
          <w:bCs/>
          <w:color w:val="333333"/>
          <w:sz w:val="24"/>
          <w:szCs w:val="24"/>
          <w:shd w:val="clear" w:color="auto" w:fill="FFFFFF"/>
          <w:lang w:val="fr-FR"/>
        </w:rPr>
      </w:pPr>
      <w:r>
        <w:rPr>
          <w:rFonts w:ascii="Garamond" w:hAnsi="Garamond"/>
          <w:sz w:val="24"/>
          <w:szCs w:val="24"/>
        </w:rPr>
        <w:t>Objet</w:t>
      </w:r>
      <w:r>
        <w:rPr>
          <w:rFonts w:ascii="Garamond" w:hAnsi="Garamond"/>
          <w:spacing w:val="40"/>
          <w:sz w:val="24"/>
          <w:szCs w:val="24"/>
        </w:rPr>
        <w:t xml:space="preserve"> </w:t>
      </w:r>
      <w:r>
        <w:rPr>
          <w:rFonts w:ascii="Garamond" w:hAnsi="Garamond"/>
          <w:sz w:val="24"/>
          <w:szCs w:val="24"/>
        </w:rPr>
        <w:t>de l’appel à consultation</w:t>
      </w:r>
      <w:r>
        <w:rPr>
          <w:rFonts w:ascii="Garamond" w:hAnsi="Garamond"/>
          <w:spacing w:val="38"/>
          <w:sz w:val="24"/>
          <w:szCs w:val="24"/>
        </w:rPr>
        <w:t xml:space="preserve"> </w:t>
      </w:r>
      <w:r>
        <w:rPr>
          <w:rFonts w:ascii="Garamond" w:hAnsi="Garamond"/>
          <w:sz w:val="24"/>
          <w:szCs w:val="24"/>
        </w:rPr>
        <w:t>:</w:t>
      </w:r>
      <w:r>
        <w:rPr>
          <w:rFonts w:ascii="Garamond" w:hAnsi="Garamond"/>
          <w:spacing w:val="43"/>
          <w:sz w:val="24"/>
          <w:szCs w:val="24"/>
        </w:rPr>
        <w:t xml:space="preserve"> </w:t>
      </w:r>
      <w:r>
        <w:rPr>
          <w:rFonts w:ascii="Garamond" w:hAnsi="Garamond" w:cs="Helvetica"/>
          <w:b/>
          <w:bCs/>
          <w:color w:val="333333"/>
          <w:sz w:val="24"/>
          <w:szCs w:val="24"/>
          <w:shd w:val="clear" w:color="auto" w:fill="FFFFFF"/>
        </w:rPr>
        <w:t>Développement et Mise en place d’un système électronique normalisé de demande de permis APA pour l’accès aux ressources génétiques au Maroc</w:t>
      </w:r>
      <w:r>
        <w:rPr>
          <w:rFonts w:ascii="Garamond" w:hAnsi="Garamond" w:cstheme="majorHAnsi"/>
          <w:sz w:val="24"/>
          <w:szCs w:val="24"/>
        </w:rPr>
        <w:t xml:space="preserve">. </w:t>
      </w:r>
    </w:p>
    <w:p w:rsidR="003B5EBC" w:rsidRDefault="00A1518B">
      <w:pPr>
        <w:spacing w:before="1"/>
        <w:ind w:left="169"/>
        <w:jc w:val="both"/>
        <w:rPr>
          <w:rFonts w:ascii="Garamond" w:eastAsiaTheme="minorEastAsia" w:hAnsi="Garamond"/>
          <w:b/>
          <w:sz w:val="24"/>
          <w:szCs w:val="24"/>
          <w:lang w:eastAsia="zh-CN"/>
        </w:rPr>
      </w:pPr>
      <w:r>
        <w:rPr>
          <w:rFonts w:ascii="Garamond" w:hAnsi="Garamond"/>
          <w:sz w:val="24"/>
          <w:szCs w:val="24"/>
        </w:rPr>
        <w:t>Maître</w:t>
      </w:r>
      <w:r>
        <w:rPr>
          <w:rFonts w:ascii="Garamond" w:hAnsi="Garamond"/>
          <w:spacing w:val="-2"/>
          <w:sz w:val="24"/>
          <w:szCs w:val="24"/>
        </w:rPr>
        <w:t xml:space="preserve"> </w:t>
      </w:r>
      <w:r>
        <w:rPr>
          <w:rFonts w:ascii="Garamond" w:hAnsi="Garamond"/>
          <w:sz w:val="24"/>
          <w:szCs w:val="24"/>
        </w:rPr>
        <w:t xml:space="preserve">d’ouvrage </w:t>
      </w:r>
      <w:r>
        <w:rPr>
          <w:rFonts w:ascii="Garamond" w:hAnsi="Garamond"/>
          <w:b/>
          <w:sz w:val="24"/>
          <w:szCs w:val="24"/>
        </w:rPr>
        <w:t>:</w:t>
      </w:r>
      <w:r>
        <w:rPr>
          <w:rFonts w:ascii="Garamond" w:hAnsi="Garamond"/>
          <w:b/>
          <w:spacing w:val="-1"/>
          <w:sz w:val="24"/>
          <w:szCs w:val="24"/>
        </w:rPr>
        <w:t xml:space="preserve"> </w:t>
      </w:r>
      <w:r>
        <w:rPr>
          <w:rFonts w:ascii="Garamond" w:hAnsi="Garamond"/>
          <w:b/>
          <w:sz w:val="24"/>
          <w:szCs w:val="24"/>
        </w:rPr>
        <w:t>Département du Développement Durable</w:t>
      </w:r>
    </w:p>
    <w:p w:rsidR="003B5EBC" w:rsidRDefault="00A1518B">
      <w:pPr>
        <w:spacing w:before="162"/>
        <w:ind w:left="169"/>
        <w:jc w:val="both"/>
        <w:rPr>
          <w:rFonts w:ascii="Garamond" w:hAnsi="Garamond"/>
          <w:b/>
          <w:bCs/>
          <w:sz w:val="24"/>
          <w:szCs w:val="24"/>
        </w:rPr>
      </w:pPr>
      <w:r>
        <w:rPr>
          <w:rFonts w:ascii="Garamond" w:hAnsi="Garamond"/>
          <w:sz w:val="24"/>
          <w:szCs w:val="24"/>
        </w:rPr>
        <w:t>Passé</w:t>
      </w:r>
      <w:r>
        <w:rPr>
          <w:rFonts w:ascii="Garamond" w:hAnsi="Garamond"/>
          <w:spacing w:val="20"/>
          <w:sz w:val="24"/>
          <w:szCs w:val="24"/>
        </w:rPr>
        <w:t xml:space="preserve"> </w:t>
      </w:r>
      <w:r>
        <w:rPr>
          <w:rFonts w:ascii="Garamond" w:hAnsi="Garamond"/>
          <w:sz w:val="24"/>
          <w:szCs w:val="24"/>
        </w:rPr>
        <w:t>en</w:t>
      </w:r>
      <w:r>
        <w:rPr>
          <w:rFonts w:ascii="Garamond" w:hAnsi="Garamond"/>
          <w:spacing w:val="20"/>
          <w:sz w:val="24"/>
          <w:szCs w:val="24"/>
        </w:rPr>
        <w:t xml:space="preserve"> </w:t>
      </w:r>
      <w:r>
        <w:rPr>
          <w:rFonts w:ascii="Garamond" w:hAnsi="Garamond"/>
          <w:sz w:val="24"/>
          <w:szCs w:val="24"/>
        </w:rPr>
        <w:t>application</w:t>
      </w:r>
      <w:r>
        <w:rPr>
          <w:rFonts w:ascii="Garamond" w:hAnsi="Garamond"/>
          <w:spacing w:val="20"/>
          <w:sz w:val="24"/>
          <w:szCs w:val="24"/>
        </w:rPr>
        <w:t xml:space="preserve"> </w:t>
      </w:r>
      <w:r>
        <w:rPr>
          <w:rFonts w:ascii="Garamond" w:hAnsi="Garamond"/>
          <w:sz w:val="24"/>
          <w:szCs w:val="24"/>
        </w:rPr>
        <w:t>des</w:t>
      </w:r>
      <w:r>
        <w:rPr>
          <w:rFonts w:ascii="Garamond" w:hAnsi="Garamond"/>
          <w:spacing w:val="21"/>
          <w:sz w:val="24"/>
          <w:szCs w:val="24"/>
        </w:rPr>
        <w:t xml:space="preserve"> </w:t>
      </w:r>
      <w:r>
        <w:rPr>
          <w:rFonts w:ascii="Garamond" w:hAnsi="Garamond"/>
          <w:sz w:val="24"/>
          <w:szCs w:val="24"/>
        </w:rPr>
        <w:t>dispositions</w:t>
      </w:r>
      <w:r>
        <w:rPr>
          <w:rFonts w:ascii="Garamond" w:hAnsi="Garamond"/>
          <w:spacing w:val="21"/>
          <w:sz w:val="24"/>
          <w:szCs w:val="24"/>
        </w:rPr>
        <w:t xml:space="preserve"> </w:t>
      </w:r>
      <w:r>
        <w:rPr>
          <w:rFonts w:ascii="Garamond" w:hAnsi="Garamond"/>
          <w:sz w:val="24"/>
          <w:szCs w:val="24"/>
        </w:rPr>
        <w:t>fixées</w:t>
      </w:r>
      <w:r>
        <w:rPr>
          <w:rFonts w:ascii="Garamond" w:hAnsi="Garamond"/>
          <w:spacing w:val="21"/>
          <w:sz w:val="24"/>
          <w:szCs w:val="24"/>
        </w:rPr>
        <w:t xml:space="preserve"> </w:t>
      </w:r>
      <w:r>
        <w:rPr>
          <w:rFonts w:ascii="Garamond" w:hAnsi="Garamond"/>
          <w:sz w:val="24"/>
          <w:szCs w:val="24"/>
        </w:rPr>
        <w:t>par</w:t>
      </w:r>
      <w:r>
        <w:rPr>
          <w:rFonts w:ascii="Garamond" w:hAnsi="Garamond"/>
          <w:spacing w:val="21"/>
          <w:sz w:val="24"/>
          <w:szCs w:val="24"/>
        </w:rPr>
        <w:t xml:space="preserve"> </w:t>
      </w:r>
      <w:r>
        <w:rPr>
          <w:rFonts w:ascii="Garamond" w:hAnsi="Garamond"/>
          <w:sz w:val="24"/>
          <w:szCs w:val="24"/>
        </w:rPr>
        <w:t>le Ministère de la Transition Energétique et du Développement Durable relatives</w:t>
      </w:r>
      <w:r>
        <w:rPr>
          <w:rFonts w:ascii="Garamond" w:hAnsi="Garamond"/>
          <w:spacing w:val="-1"/>
          <w:sz w:val="24"/>
          <w:szCs w:val="24"/>
        </w:rPr>
        <w:t xml:space="preserve"> </w:t>
      </w:r>
      <w:r>
        <w:rPr>
          <w:rFonts w:ascii="Garamond" w:hAnsi="Garamond"/>
          <w:sz w:val="24"/>
          <w:szCs w:val="24"/>
        </w:rPr>
        <w:t>aux</w:t>
      </w:r>
      <w:r>
        <w:rPr>
          <w:rFonts w:ascii="Garamond" w:hAnsi="Garamond"/>
          <w:spacing w:val="-2"/>
          <w:sz w:val="24"/>
          <w:szCs w:val="24"/>
        </w:rPr>
        <w:t xml:space="preserve"> </w:t>
      </w:r>
      <w:r>
        <w:rPr>
          <w:rFonts w:ascii="Garamond" w:hAnsi="Garamond"/>
          <w:sz w:val="24"/>
          <w:szCs w:val="24"/>
        </w:rPr>
        <w:t>conditions</w:t>
      </w:r>
      <w:r>
        <w:rPr>
          <w:rFonts w:ascii="Garamond" w:hAnsi="Garamond"/>
          <w:spacing w:val="-2"/>
          <w:sz w:val="24"/>
          <w:szCs w:val="24"/>
        </w:rPr>
        <w:t xml:space="preserve"> </w:t>
      </w:r>
      <w:r>
        <w:rPr>
          <w:rFonts w:ascii="Garamond" w:hAnsi="Garamond"/>
          <w:sz w:val="24"/>
          <w:szCs w:val="24"/>
        </w:rPr>
        <w:t>et</w:t>
      </w:r>
      <w:r>
        <w:rPr>
          <w:rFonts w:ascii="Garamond" w:hAnsi="Garamond"/>
          <w:spacing w:val="-2"/>
          <w:sz w:val="24"/>
          <w:szCs w:val="24"/>
        </w:rPr>
        <w:t xml:space="preserve"> </w:t>
      </w:r>
      <w:r>
        <w:rPr>
          <w:rFonts w:ascii="Garamond" w:hAnsi="Garamond"/>
          <w:sz w:val="24"/>
          <w:szCs w:val="24"/>
        </w:rPr>
        <w:t xml:space="preserve">formes de passations des appels à consultation dans le cadre de projet de coopération internationale </w:t>
      </w:r>
      <w:r>
        <w:rPr>
          <w:rFonts w:ascii="Garamond" w:hAnsi="Garamond"/>
          <w:b/>
          <w:bCs/>
          <w:sz w:val="24"/>
          <w:szCs w:val="24"/>
        </w:rPr>
        <w:t xml:space="preserve">« </w:t>
      </w:r>
      <w:r>
        <w:rPr>
          <w:rFonts w:ascii="Garamond" w:hAnsi="Garamond"/>
          <w:b/>
          <w:bCs/>
          <w:i/>
          <w:iCs/>
          <w:sz w:val="24"/>
          <w:szCs w:val="24"/>
        </w:rPr>
        <w:t>Consolidation du cadre national APA et pilotage des produits et des chaines de valeur innovants dans le domaine des ressources génétiques afin d'améliorer le partage des avantages pour le développement rural durable et la conservation de la biodiversité (APA Nagoya II)</w:t>
      </w:r>
      <w:r>
        <w:rPr>
          <w:rFonts w:ascii="Garamond" w:hAnsi="Garamond"/>
          <w:b/>
          <w:bCs/>
          <w:sz w:val="24"/>
          <w:szCs w:val="24"/>
        </w:rPr>
        <w:t xml:space="preserve"> »</w:t>
      </w:r>
      <w:r>
        <w:rPr>
          <w:rFonts w:ascii="Garamond" w:hAnsi="Garamond"/>
          <w:sz w:val="24"/>
          <w:szCs w:val="24"/>
        </w:rPr>
        <w:t xml:space="preserve"> financé par le Fonds pour l’Environnement Mondial (Project ID : 01000687) avec l’accompagnement et l’assurance qualité du Programme des Nations Unies pour le Développement. </w:t>
      </w:r>
    </w:p>
    <w:p w:rsidR="003B5EBC" w:rsidRDefault="003B5EBC">
      <w:pPr>
        <w:pStyle w:val="Titre2"/>
        <w:ind w:left="0"/>
        <w:rPr>
          <w:rFonts w:ascii="Garamond" w:hAnsi="Garamond"/>
          <w:spacing w:val="-1"/>
          <w:lang w:val="zh-CN"/>
        </w:rPr>
      </w:pPr>
    </w:p>
    <w:p w:rsidR="003B5EBC" w:rsidRDefault="00A1518B">
      <w:pPr>
        <w:widowControl w:val="0"/>
        <w:autoSpaceDE w:val="0"/>
        <w:autoSpaceDN w:val="0"/>
        <w:spacing w:after="0" w:line="240" w:lineRule="auto"/>
        <w:ind w:left="169"/>
        <w:outlineLvl w:val="1"/>
        <w:rPr>
          <w:rFonts w:ascii="Garamond" w:eastAsia="Times New Roman" w:hAnsi="Garamond" w:cs="Times New Roman"/>
          <w:b/>
          <w:bCs/>
          <w:sz w:val="24"/>
          <w:szCs w:val="24"/>
        </w:rPr>
      </w:pPr>
      <w:r>
        <w:rPr>
          <w:rFonts w:ascii="Garamond" w:eastAsia="Times New Roman" w:hAnsi="Garamond" w:cs="Times New Roman"/>
          <w:b/>
          <w:bCs/>
          <w:spacing w:val="-1"/>
          <w:sz w:val="24"/>
          <w:szCs w:val="24"/>
        </w:rPr>
        <w:t>A</w:t>
      </w:r>
      <w:r>
        <w:rPr>
          <w:rFonts w:ascii="Garamond" w:eastAsia="Times New Roman" w:hAnsi="Garamond" w:cs="Times New Roman"/>
          <w:b/>
          <w:bCs/>
          <w:i/>
          <w:spacing w:val="-1"/>
          <w:sz w:val="24"/>
          <w:szCs w:val="24"/>
        </w:rPr>
        <w:t>-</w:t>
      </w:r>
      <w:r>
        <w:rPr>
          <w:rFonts w:ascii="Garamond" w:eastAsia="Times New Roman" w:hAnsi="Garamond" w:cs="Times New Roman"/>
          <w:b/>
          <w:bCs/>
          <w:i/>
          <w:spacing w:val="-30"/>
          <w:sz w:val="24"/>
          <w:szCs w:val="24"/>
        </w:rPr>
        <w:t xml:space="preserve"> </w:t>
      </w:r>
      <w:r>
        <w:rPr>
          <w:rFonts w:ascii="Garamond" w:eastAsia="Times New Roman" w:hAnsi="Garamond" w:cs="Times New Roman"/>
          <w:b/>
          <w:bCs/>
          <w:spacing w:val="-1"/>
          <w:sz w:val="24"/>
          <w:szCs w:val="24"/>
        </w:rPr>
        <w:t>Pour les</w:t>
      </w:r>
      <w:r>
        <w:rPr>
          <w:rFonts w:ascii="Garamond" w:eastAsia="Times New Roman" w:hAnsi="Garamond" w:cs="Times New Roman"/>
          <w:b/>
          <w:bCs/>
          <w:sz w:val="24"/>
          <w:szCs w:val="24"/>
        </w:rPr>
        <w:t xml:space="preserve"> personnes morales</w:t>
      </w:r>
    </w:p>
    <w:p w:rsidR="003B5EBC" w:rsidRDefault="003B5EBC">
      <w:pPr>
        <w:widowControl w:val="0"/>
        <w:autoSpaceDE w:val="0"/>
        <w:autoSpaceDN w:val="0"/>
        <w:spacing w:before="7" w:after="0" w:line="240" w:lineRule="auto"/>
        <w:rPr>
          <w:rFonts w:ascii="Garamond" w:eastAsia="Times New Roman" w:hAnsi="Garamond" w:cs="Times New Roman"/>
          <w:b/>
          <w:sz w:val="24"/>
          <w:szCs w:val="24"/>
        </w:rPr>
      </w:pPr>
    </w:p>
    <w:p w:rsidR="003B5EBC" w:rsidRDefault="00A1518B">
      <w:pPr>
        <w:widowControl w:val="0"/>
        <w:tabs>
          <w:tab w:val="left" w:leader="dot" w:pos="7903"/>
        </w:tabs>
        <w:autoSpaceDE w:val="0"/>
        <w:autoSpaceDN w:val="0"/>
        <w:spacing w:after="0" w:line="240" w:lineRule="auto"/>
        <w:ind w:left="169"/>
        <w:rPr>
          <w:rFonts w:ascii="Garamond" w:eastAsia="Times New Roman" w:hAnsi="Garamond" w:cs="Times New Roman"/>
          <w:sz w:val="24"/>
          <w:szCs w:val="24"/>
        </w:rPr>
      </w:pPr>
      <w:r>
        <w:rPr>
          <w:rFonts w:ascii="Garamond" w:eastAsia="Times New Roman" w:hAnsi="Garamond" w:cs="Times New Roman"/>
          <w:sz w:val="24"/>
          <w:szCs w:val="24"/>
        </w:rPr>
        <w:t>Je</w:t>
      </w:r>
      <w:r>
        <w:rPr>
          <w:rFonts w:ascii="Garamond" w:eastAsia="Times New Roman" w:hAnsi="Garamond" w:cs="Times New Roman"/>
          <w:spacing w:val="-3"/>
          <w:sz w:val="24"/>
          <w:szCs w:val="24"/>
        </w:rPr>
        <w:t xml:space="preserve"> </w:t>
      </w:r>
      <w:r>
        <w:rPr>
          <w:rFonts w:ascii="Garamond" w:eastAsia="Times New Roman" w:hAnsi="Garamond" w:cs="Times New Roman"/>
          <w:sz w:val="24"/>
          <w:szCs w:val="24"/>
        </w:rPr>
        <w:t>soussigné………………….(Prénom,</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Nom</w:t>
      </w:r>
      <w:r>
        <w:rPr>
          <w:rFonts w:ascii="Garamond" w:eastAsia="Times New Roman" w:hAnsi="Garamond" w:cs="Times New Roman"/>
          <w:spacing w:val="-2"/>
          <w:sz w:val="24"/>
          <w:szCs w:val="24"/>
        </w:rPr>
        <w:t xml:space="preserve"> </w:t>
      </w:r>
      <w:r>
        <w:rPr>
          <w:rFonts w:ascii="Garamond" w:eastAsia="Times New Roman" w:hAnsi="Garamond" w:cs="Times New Roman"/>
          <w:sz w:val="24"/>
          <w:szCs w:val="24"/>
        </w:rPr>
        <w:t>et qualité)</w:t>
      </w:r>
    </w:p>
    <w:p w:rsidR="003B5EBC" w:rsidRDefault="00A1518B">
      <w:pPr>
        <w:widowControl w:val="0"/>
        <w:autoSpaceDE w:val="0"/>
        <w:autoSpaceDN w:val="0"/>
        <w:spacing w:after="0" w:line="240" w:lineRule="auto"/>
        <w:ind w:left="169"/>
        <w:rPr>
          <w:rFonts w:ascii="Garamond" w:eastAsia="Times New Roman" w:hAnsi="Garamond" w:cs="Times New Roman"/>
          <w:sz w:val="24"/>
          <w:szCs w:val="24"/>
        </w:rPr>
      </w:pPr>
      <w:r>
        <w:rPr>
          <w:rFonts w:ascii="Garamond" w:eastAsia="Times New Roman" w:hAnsi="Garamond" w:cs="Times New Roman"/>
          <w:sz w:val="24"/>
          <w:szCs w:val="24"/>
        </w:rPr>
        <w:t>Agissant</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en</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mon nom</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personnel et</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pour</w:t>
      </w:r>
      <w:r>
        <w:rPr>
          <w:rFonts w:ascii="Garamond" w:eastAsia="Times New Roman" w:hAnsi="Garamond" w:cs="Times New Roman"/>
          <w:spacing w:val="-2"/>
          <w:sz w:val="24"/>
          <w:szCs w:val="24"/>
        </w:rPr>
        <w:t xml:space="preserve"> </w:t>
      </w:r>
      <w:r>
        <w:rPr>
          <w:rFonts w:ascii="Garamond" w:eastAsia="Times New Roman" w:hAnsi="Garamond" w:cs="Times New Roman"/>
          <w:sz w:val="24"/>
          <w:szCs w:val="24"/>
        </w:rPr>
        <w:t>mon propre</w:t>
      </w:r>
      <w:r>
        <w:rPr>
          <w:rFonts w:ascii="Garamond" w:eastAsia="Times New Roman" w:hAnsi="Garamond" w:cs="Times New Roman"/>
          <w:spacing w:val="-3"/>
          <w:sz w:val="24"/>
          <w:szCs w:val="24"/>
        </w:rPr>
        <w:t xml:space="preserve"> </w:t>
      </w:r>
      <w:r>
        <w:rPr>
          <w:rFonts w:ascii="Garamond" w:eastAsia="Times New Roman" w:hAnsi="Garamond" w:cs="Times New Roman"/>
          <w:sz w:val="24"/>
          <w:szCs w:val="24"/>
        </w:rPr>
        <w:t>compte,</w:t>
      </w:r>
    </w:p>
    <w:p w:rsidR="003B5EBC" w:rsidRDefault="00A1518B">
      <w:pPr>
        <w:widowControl w:val="0"/>
        <w:autoSpaceDE w:val="0"/>
        <w:autoSpaceDN w:val="0"/>
        <w:spacing w:after="0" w:line="240" w:lineRule="auto"/>
        <w:ind w:left="169"/>
        <w:rPr>
          <w:rFonts w:ascii="Garamond" w:eastAsia="Times New Roman" w:hAnsi="Garamond" w:cs="Times New Roman"/>
          <w:sz w:val="24"/>
          <w:szCs w:val="24"/>
        </w:rPr>
      </w:pPr>
      <w:r>
        <w:rPr>
          <w:rFonts w:ascii="Garamond" w:eastAsia="Times New Roman" w:hAnsi="Garamond" w:cs="Times New Roman"/>
          <w:sz w:val="24"/>
          <w:szCs w:val="24"/>
        </w:rPr>
        <w:t>Adresse</w:t>
      </w:r>
      <w:r>
        <w:rPr>
          <w:rFonts w:ascii="Garamond" w:eastAsia="Times New Roman" w:hAnsi="Garamond" w:cs="Times New Roman"/>
          <w:spacing w:val="-2"/>
          <w:sz w:val="24"/>
          <w:szCs w:val="24"/>
        </w:rPr>
        <w:t xml:space="preserve"> </w:t>
      </w:r>
      <w:r>
        <w:rPr>
          <w:rFonts w:ascii="Garamond" w:eastAsia="Times New Roman" w:hAnsi="Garamond" w:cs="Times New Roman"/>
          <w:sz w:val="24"/>
          <w:szCs w:val="24"/>
        </w:rPr>
        <w:t>du</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domicile</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élu</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w:t>
      </w:r>
    </w:p>
    <w:p w:rsidR="003B5EBC" w:rsidRDefault="00A1518B">
      <w:pPr>
        <w:widowControl w:val="0"/>
        <w:autoSpaceDE w:val="0"/>
        <w:autoSpaceDN w:val="0"/>
        <w:spacing w:after="0" w:line="240" w:lineRule="auto"/>
        <w:ind w:left="169"/>
        <w:rPr>
          <w:rFonts w:ascii="Garamond" w:eastAsia="Times New Roman" w:hAnsi="Garamond" w:cs="Times New Roman"/>
          <w:sz w:val="24"/>
          <w:szCs w:val="24"/>
        </w:rPr>
      </w:pPr>
      <w:r>
        <w:rPr>
          <w:rFonts w:ascii="Garamond" w:eastAsia="Times New Roman" w:hAnsi="Garamond" w:cs="Times New Roman"/>
          <w:sz w:val="24"/>
          <w:szCs w:val="24"/>
        </w:rPr>
        <w:t>Affilié</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à</w:t>
      </w:r>
      <w:r>
        <w:rPr>
          <w:rFonts w:ascii="Garamond" w:eastAsia="Times New Roman" w:hAnsi="Garamond" w:cs="Times New Roman"/>
          <w:spacing w:val="-3"/>
          <w:sz w:val="24"/>
          <w:szCs w:val="24"/>
        </w:rPr>
        <w:t xml:space="preserve"> </w:t>
      </w:r>
      <w:r>
        <w:rPr>
          <w:rFonts w:ascii="Garamond" w:eastAsia="Times New Roman" w:hAnsi="Garamond" w:cs="Times New Roman"/>
          <w:sz w:val="24"/>
          <w:szCs w:val="24"/>
        </w:rPr>
        <w:t>la CNSS</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sous</w:t>
      </w:r>
      <w:r>
        <w:rPr>
          <w:rFonts w:ascii="Garamond" w:eastAsia="Times New Roman" w:hAnsi="Garamond" w:cs="Times New Roman"/>
          <w:spacing w:val="-2"/>
          <w:sz w:val="24"/>
          <w:szCs w:val="24"/>
        </w:rPr>
        <w:t xml:space="preserve"> </w:t>
      </w:r>
      <w:r>
        <w:rPr>
          <w:rFonts w:ascii="Garamond" w:eastAsia="Times New Roman" w:hAnsi="Garamond" w:cs="Times New Roman"/>
          <w:sz w:val="24"/>
          <w:szCs w:val="24"/>
        </w:rPr>
        <w:t>le</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n°……………………………………………………………..……</w:t>
      </w:r>
    </w:p>
    <w:p w:rsidR="003B5EBC" w:rsidRDefault="00A1518B">
      <w:pPr>
        <w:widowControl w:val="0"/>
        <w:autoSpaceDE w:val="0"/>
        <w:autoSpaceDN w:val="0"/>
        <w:spacing w:after="0" w:line="240" w:lineRule="auto"/>
        <w:ind w:left="169"/>
        <w:rPr>
          <w:rFonts w:ascii="Garamond" w:eastAsia="Times New Roman" w:hAnsi="Garamond" w:cs="Times New Roman"/>
          <w:sz w:val="24"/>
          <w:szCs w:val="24"/>
        </w:rPr>
      </w:pPr>
      <w:r>
        <w:rPr>
          <w:rFonts w:ascii="Garamond" w:eastAsia="Times New Roman" w:hAnsi="Garamond" w:cs="Times New Roman"/>
          <w:sz w:val="24"/>
          <w:szCs w:val="24"/>
        </w:rPr>
        <w:t>N°</w:t>
      </w:r>
      <w:r>
        <w:rPr>
          <w:rFonts w:ascii="Garamond" w:eastAsia="Times New Roman" w:hAnsi="Garamond" w:cs="Times New Roman"/>
          <w:spacing w:val="-2"/>
          <w:sz w:val="24"/>
          <w:szCs w:val="24"/>
        </w:rPr>
        <w:t xml:space="preserve"> </w:t>
      </w:r>
      <w:r>
        <w:rPr>
          <w:rFonts w:ascii="Garamond" w:eastAsia="Times New Roman" w:hAnsi="Garamond" w:cs="Times New Roman"/>
          <w:sz w:val="24"/>
          <w:szCs w:val="24"/>
        </w:rPr>
        <w:t>de</w:t>
      </w:r>
      <w:r>
        <w:rPr>
          <w:rFonts w:ascii="Garamond" w:eastAsia="Times New Roman" w:hAnsi="Garamond" w:cs="Times New Roman"/>
          <w:spacing w:val="-2"/>
          <w:sz w:val="24"/>
          <w:szCs w:val="24"/>
        </w:rPr>
        <w:t xml:space="preserve"> </w:t>
      </w:r>
      <w:r>
        <w:rPr>
          <w:rFonts w:ascii="Garamond" w:eastAsia="Times New Roman" w:hAnsi="Garamond" w:cs="Times New Roman"/>
          <w:sz w:val="24"/>
          <w:szCs w:val="24"/>
        </w:rPr>
        <w:t>patente………………….</w:t>
      </w:r>
    </w:p>
    <w:p w:rsidR="003B5EBC" w:rsidRDefault="00A1518B">
      <w:pPr>
        <w:widowControl w:val="0"/>
        <w:tabs>
          <w:tab w:val="left" w:leader="dot" w:pos="9841"/>
        </w:tabs>
        <w:autoSpaceDE w:val="0"/>
        <w:autoSpaceDN w:val="0"/>
        <w:spacing w:after="0" w:line="240" w:lineRule="auto"/>
        <w:ind w:left="169"/>
        <w:rPr>
          <w:rFonts w:ascii="Garamond" w:eastAsia="Times New Roman" w:hAnsi="Garamond" w:cs="Times New Roman"/>
          <w:sz w:val="24"/>
          <w:szCs w:val="24"/>
        </w:rPr>
      </w:pPr>
      <w:r>
        <w:rPr>
          <w:rFonts w:ascii="Garamond" w:eastAsia="Times New Roman" w:hAnsi="Garamond" w:cs="Times New Roman"/>
          <w:sz w:val="24"/>
          <w:szCs w:val="24"/>
        </w:rPr>
        <w:t>N°</w:t>
      </w:r>
      <w:r>
        <w:rPr>
          <w:rFonts w:ascii="Garamond" w:eastAsia="Times New Roman" w:hAnsi="Garamond" w:cs="Times New Roman"/>
          <w:spacing w:val="58"/>
          <w:sz w:val="24"/>
          <w:szCs w:val="24"/>
        </w:rPr>
        <w:t xml:space="preserve"> </w:t>
      </w:r>
      <w:r>
        <w:rPr>
          <w:rFonts w:ascii="Garamond" w:eastAsia="Times New Roman" w:hAnsi="Garamond" w:cs="Times New Roman"/>
          <w:sz w:val="24"/>
          <w:szCs w:val="24"/>
        </w:rPr>
        <w:t>du décompte</w:t>
      </w:r>
      <w:r>
        <w:rPr>
          <w:rFonts w:ascii="Garamond" w:eastAsia="Times New Roman" w:hAnsi="Garamond" w:cs="Times New Roman"/>
          <w:spacing w:val="-2"/>
          <w:sz w:val="24"/>
          <w:szCs w:val="24"/>
        </w:rPr>
        <w:t xml:space="preserve"> </w:t>
      </w:r>
      <w:r>
        <w:rPr>
          <w:rFonts w:ascii="Garamond" w:eastAsia="Times New Roman" w:hAnsi="Garamond" w:cs="Times New Roman"/>
          <w:sz w:val="24"/>
          <w:szCs w:val="24"/>
        </w:rPr>
        <w:t>courant</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postal-bancaire</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ou</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à</w:t>
      </w:r>
      <w:r>
        <w:rPr>
          <w:rFonts w:ascii="Garamond" w:eastAsia="Times New Roman" w:hAnsi="Garamond" w:cs="Times New Roman"/>
          <w:spacing w:val="-1"/>
          <w:sz w:val="24"/>
          <w:szCs w:val="24"/>
        </w:rPr>
        <w:t xml:space="preserve"> </w:t>
      </w:r>
      <w:r>
        <w:rPr>
          <w:rFonts w:ascii="Garamond" w:eastAsia="Times New Roman" w:hAnsi="Garamond" w:cs="Times New Roman"/>
          <w:sz w:val="24"/>
          <w:szCs w:val="24"/>
        </w:rPr>
        <w:t>la TGR …………..(RIB)</w:t>
      </w:r>
    </w:p>
    <w:p w:rsidR="003B5EBC" w:rsidRDefault="00A1518B">
      <w:pPr>
        <w:pStyle w:val="Titre2"/>
        <w:ind w:left="169"/>
        <w:jc w:val="both"/>
        <w:rPr>
          <w:rFonts w:ascii="Garamond" w:eastAsiaTheme="minorHAnsi" w:hAnsi="Garamond" w:cstheme="minorBidi"/>
          <w:b w:val="0"/>
          <w:bCs w:val="0"/>
          <w:lang w:val="zh-CN"/>
        </w:rPr>
      </w:pPr>
      <w:r>
        <w:rPr>
          <w:rFonts w:ascii="Garamond" w:eastAsiaTheme="minorHAnsi" w:hAnsi="Garamond" w:cstheme="minorBidi"/>
          <w:b w:val="0"/>
          <w:bCs w:val="0"/>
          <w:lang w:val="zh-CN"/>
        </w:rPr>
        <w:t>Déclare sur l’honneur :</w:t>
      </w:r>
    </w:p>
    <w:p w:rsidR="003B5EBC" w:rsidRDefault="00A1518B">
      <w:pPr>
        <w:pStyle w:val="Paragraphedeliste"/>
        <w:widowControl w:val="0"/>
        <w:numPr>
          <w:ilvl w:val="0"/>
          <w:numId w:val="50"/>
        </w:numPr>
        <w:tabs>
          <w:tab w:val="left" w:pos="458"/>
        </w:tabs>
        <w:autoSpaceDE w:val="0"/>
        <w:autoSpaceDN w:val="0"/>
        <w:spacing w:after="0" w:line="240" w:lineRule="auto"/>
        <w:ind w:right="114"/>
        <w:jc w:val="both"/>
        <w:rPr>
          <w:rFonts w:ascii="Garamond" w:hAnsi="Garamond"/>
          <w:sz w:val="24"/>
          <w:szCs w:val="24"/>
        </w:rPr>
      </w:pPr>
      <w:r>
        <w:rPr>
          <w:rFonts w:ascii="Garamond" w:hAnsi="Garamond"/>
          <w:sz w:val="24"/>
          <w:szCs w:val="24"/>
        </w:rPr>
        <w:t>M’engage à couvrir, dans les limites fixées dans le cahier des charges, par une police d’assurance, les risques découlent de mon activité professionnelle ;</w:t>
      </w:r>
    </w:p>
    <w:p w:rsidR="003B5EBC" w:rsidRDefault="00A1518B">
      <w:pPr>
        <w:pStyle w:val="Paragraphedeliste"/>
        <w:widowControl w:val="0"/>
        <w:numPr>
          <w:ilvl w:val="0"/>
          <w:numId w:val="50"/>
        </w:numPr>
        <w:tabs>
          <w:tab w:val="left" w:pos="458"/>
        </w:tabs>
        <w:autoSpaceDE w:val="0"/>
        <w:autoSpaceDN w:val="0"/>
        <w:spacing w:after="0" w:line="240" w:lineRule="auto"/>
        <w:ind w:right="114"/>
        <w:jc w:val="both"/>
        <w:rPr>
          <w:rFonts w:ascii="Garamond" w:hAnsi="Garamond"/>
          <w:sz w:val="24"/>
          <w:szCs w:val="24"/>
        </w:rPr>
      </w:pPr>
      <w:r>
        <w:rPr>
          <w:rFonts w:ascii="Garamond" w:hAnsi="Garamond"/>
          <w:sz w:val="24"/>
          <w:szCs w:val="24"/>
        </w:rPr>
        <w:t>M’engage, si j’envisage de recourir à la sous-traitance, que celle-ci ne peut porter que sur 50% de la totalité de la prestation ; et m’assurer que les sous-traitants remplissent également les conditions prévues par le descriptif des missions demandées du présent document de termes de référence.</w:t>
      </w:r>
    </w:p>
    <w:p w:rsidR="003B5EBC" w:rsidRDefault="00A1518B">
      <w:pPr>
        <w:pStyle w:val="Paragraphedeliste"/>
        <w:widowControl w:val="0"/>
        <w:numPr>
          <w:ilvl w:val="0"/>
          <w:numId w:val="50"/>
        </w:numPr>
        <w:tabs>
          <w:tab w:val="left" w:pos="458"/>
        </w:tabs>
        <w:autoSpaceDE w:val="0"/>
        <w:autoSpaceDN w:val="0"/>
        <w:spacing w:after="0" w:line="240" w:lineRule="auto"/>
        <w:ind w:right="114"/>
        <w:jc w:val="both"/>
        <w:rPr>
          <w:rFonts w:ascii="Garamond" w:hAnsi="Garamond"/>
          <w:sz w:val="24"/>
          <w:szCs w:val="24"/>
        </w:rPr>
      </w:pPr>
      <w:r>
        <w:rPr>
          <w:rFonts w:ascii="Garamond" w:hAnsi="Garamond"/>
          <w:sz w:val="24"/>
          <w:szCs w:val="24"/>
        </w:rPr>
        <w:t>M'engage de ne pas recourir à la fraude ou à la corruption, ou de faire des dons, des promesses ou des présents en vue d'influer sur les procédures de conclusion de la présente consultation.</w:t>
      </w:r>
    </w:p>
    <w:p w:rsidR="003B5EBC" w:rsidRDefault="00A1518B">
      <w:pPr>
        <w:pStyle w:val="Corpsdetexte"/>
        <w:ind w:left="169"/>
        <w:jc w:val="both"/>
        <w:rPr>
          <w:rFonts w:ascii="Garamond" w:hAnsi="Garamond"/>
          <w:sz w:val="24"/>
          <w:szCs w:val="24"/>
        </w:rPr>
      </w:pPr>
      <w:r>
        <w:rPr>
          <w:rFonts w:ascii="Garamond" w:hAnsi="Garamond"/>
          <w:sz w:val="24"/>
          <w:szCs w:val="24"/>
        </w:rPr>
        <w:t>Je certifie l’exactitude des renseignements contenus dans la présente déclaration sur l’honneur.</w:t>
      </w:r>
    </w:p>
    <w:p w:rsidR="003B5EBC" w:rsidRDefault="00A1518B">
      <w:pPr>
        <w:pStyle w:val="Corpsdetexte"/>
        <w:ind w:left="169" w:right="105"/>
        <w:jc w:val="both"/>
        <w:rPr>
          <w:rFonts w:ascii="Garamond" w:hAnsi="Garamond"/>
          <w:sz w:val="24"/>
          <w:szCs w:val="24"/>
        </w:rPr>
      </w:pPr>
      <w:r>
        <w:rPr>
          <w:rFonts w:ascii="Garamond" w:hAnsi="Garamond"/>
          <w:sz w:val="24"/>
          <w:szCs w:val="24"/>
        </w:rPr>
        <w:t>Je reconnais avoir pris connaissance des sanctions prévues relatives à l’inexactitude de la déclaration sur l’honneur.</w:t>
      </w:r>
    </w:p>
    <w:p w:rsidR="003B5EBC" w:rsidRDefault="00A1518B">
      <w:pPr>
        <w:pStyle w:val="Corpsdetexte"/>
        <w:tabs>
          <w:tab w:val="right" w:pos="10064"/>
        </w:tabs>
        <w:ind w:left="6768"/>
        <w:rPr>
          <w:rFonts w:ascii="Garamond" w:hAnsi="Garamond"/>
          <w:sz w:val="24"/>
          <w:szCs w:val="24"/>
        </w:rPr>
      </w:pPr>
      <w:r>
        <w:rPr>
          <w:rFonts w:ascii="Garamond" w:hAnsi="Garamond"/>
          <w:sz w:val="24"/>
          <w:szCs w:val="24"/>
        </w:rPr>
        <w:t>Fait à…………………le…</w:t>
      </w:r>
      <w:r>
        <w:rPr>
          <w:rFonts w:ascii="Garamond" w:hAnsi="Garamond"/>
          <w:sz w:val="24"/>
          <w:szCs w:val="24"/>
        </w:rPr>
        <w:tab/>
      </w:r>
    </w:p>
    <w:p w:rsidR="003B5EBC" w:rsidRDefault="003B5EBC">
      <w:pPr>
        <w:jc w:val="center"/>
        <w:rPr>
          <w:rFonts w:ascii="Calisto MT" w:hAnsi="Calisto MT"/>
        </w:rPr>
      </w:pPr>
    </w:p>
    <w:p w:rsidR="003B5EBC" w:rsidRDefault="00A1518B">
      <w:pPr>
        <w:jc w:val="center"/>
        <w:rPr>
          <w:rFonts w:ascii="Garamond" w:eastAsiaTheme="minorEastAsia" w:hAnsi="Garamond"/>
          <w:sz w:val="28"/>
          <w:szCs w:val="28"/>
          <w:u w:val="thick"/>
          <w:lang w:eastAsia="zh-CN"/>
        </w:rPr>
      </w:pPr>
      <w:r>
        <w:rPr>
          <w:rFonts w:ascii="Calisto MT" w:hAnsi="Calisto MT"/>
        </w:rPr>
        <w:br w:type="page"/>
      </w:r>
      <w:r>
        <w:rPr>
          <w:rFonts w:ascii="Garamond" w:hAnsi="Garamond"/>
          <w:sz w:val="28"/>
          <w:szCs w:val="28"/>
          <w:u w:val="thick"/>
        </w:rPr>
        <w:lastRenderedPageBreak/>
        <w:t>ANNEXE 2</w:t>
      </w:r>
    </w:p>
    <w:p w:rsidR="003B5EBC" w:rsidRDefault="00A1518B">
      <w:pPr>
        <w:pStyle w:val="Titre2"/>
        <w:spacing w:before="77" w:line="451" w:lineRule="auto"/>
        <w:ind w:left="3482" w:right="1751"/>
        <w:rPr>
          <w:rFonts w:ascii="Garamond" w:hAnsi="Garamond"/>
          <w:sz w:val="28"/>
          <w:szCs w:val="28"/>
          <w:lang w:val="zh-CN"/>
        </w:rPr>
      </w:pPr>
      <w:r>
        <w:rPr>
          <w:rFonts w:ascii="Garamond" w:hAnsi="Garamond"/>
          <w:sz w:val="28"/>
          <w:szCs w:val="28"/>
          <w:u w:val="thick"/>
          <w:lang w:val="zh-CN"/>
        </w:rPr>
        <w:t>ACTE D’ENGAGEMENT</w:t>
      </w:r>
    </w:p>
    <w:p w:rsidR="003B5EBC" w:rsidRDefault="003B5EBC">
      <w:pPr>
        <w:pStyle w:val="Corpsdetexte"/>
        <w:spacing w:before="6"/>
        <w:rPr>
          <w:rFonts w:ascii="Calisto MT" w:hAnsi="Calisto MT"/>
          <w:b/>
          <w:sz w:val="24"/>
          <w:szCs w:val="24"/>
        </w:rPr>
      </w:pPr>
    </w:p>
    <w:p w:rsidR="003B5EBC" w:rsidRDefault="00A1518B">
      <w:pPr>
        <w:spacing w:before="91" w:line="252" w:lineRule="exact"/>
        <w:ind w:left="169"/>
        <w:jc w:val="both"/>
        <w:rPr>
          <w:rFonts w:ascii="Garamond" w:hAnsi="Garamond"/>
          <w:b/>
          <w:sz w:val="24"/>
          <w:szCs w:val="24"/>
        </w:rPr>
      </w:pPr>
      <w:r>
        <w:rPr>
          <w:rFonts w:ascii="Garamond" w:hAnsi="Garamond"/>
          <w:sz w:val="24"/>
          <w:szCs w:val="24"/>
        </w:rPr>
        <w:t>Mode</w:t>
      </w:r>
      <w:r>
        <w:rPr>
          <w:rFonts w:ascii="Garamond" w:hAnsi="Garamond"/>
          <w:spacing w:val="-3"/>
          <w:sz w:val="24"/>
          <w:szCs w:val="24"/>
        </w:rPr>
        <w:t xml:space="preserve"> </w:t>
      </w:r>
      <w:r>
        <w:rPr>
          <w:rFonts w:ascii="Garamond" w:hAnsi="Garamond"/>
          <w:sz w:val="24"/>
          <w:szCs w:val="24"/>
        </w:rPr>
        <w:t>de</w:t>
      </w:r>
      <w:r>
        <w:rPr>
          <w:rFonts w:ascii="Garamond" w:hAnsi="Garamond"/>
          <w:spacing w:val="-2"/>
          <w:sz w:val="24"/>
          <w:szCs w:val="24"/>
        </w:rPr>
        <w:t xml:space="preserve"> </w:t>
      </w:r>
      <w:r>
        <w:rPr>
          <w:rFonts w:ascii="Garamond" w:hAnsi="Garamond"/>
          <w:sz w:val="24"/>
          <w:szCs w:val="24"/>
        </w:rPr>
        <w:t>passation</w:t>
      </w:r>
      <w:r>
        <w:rPr>
          <w:rFonts w:ascii="Garamond" w:hAnsi="Garamond"/>
          <w:spacing w:val="-2"/>
          <w:sz w:val="24"/>
          <w:szCs w:val="24"/>
        </w:rPr>
        <w:t xml:space="preserve"> </w:t>
      </w:r>
      <w:r>
        <w:rPr>
          <w:rFonts w:ascii="Garamond" w:hAnsi="Garamond"/>
          <w:sz w:val="24"/>
          <w:szCs w:val="24"/>
        </w:rPr>
        <w:t xml:space="preserve">: </w:t>
      </w:r>
      <w:r>
        <w:rPr>
          <w:rFonts w:ascii="Garamond" w:hAnsi="Garamond"/>
          <w:b/>
          <w:sz w:val="24"/>
          <w:szCs w:val="24"/>
        </w:rPr>
        <w:t>Appel à consultation ouvert</w:t>
      </w:r>
    </w:p>
    <w:p w:rsidR="003B5EBC" w:rsidRDefault="00A1518B">
      <w:pPr>
        <w:spacing w:before="91" w:line="252" w:lineRule="exact"/>
        <w:ind w:left="169"/>
        <w:jc w:val="both"/>
        <w:rPr>
          <w:rFonts w:ascii="Garamond" w:hAnsi="Garamond" w:cstheme="majorHAnsi"/>
          <w:b/>
          <w:bCs/>
          <w:sz w:val="24"/>
          <w:szCs w:val="24"/>
        </w:rPr>
      </w:pPr>
      <w:r>
        <w:rPr>
          <w:rFonts w:ascii="Garamond" w:hAnsi="Garamond"/>
          <w:sz w:val="24"/>
          <w:szCs w:val="24"/>
        </w:rPr>
        <w:t>Objet</w:t>
      </w:r>
      <w:r>
        <w:rPr>
          <w:rFonts w:ascii="Garamond" w:hAnsi="Garamond"/>
          <w:spacing w:val="40"/>
          <w:sz w:val="24"/>
          <w:szCs w:val="24"/>
        </w:rPr>
        <w:t xml:space="preserve"> </w:t>
      </w:r>
      <w:r>
        <w:rPr>
          <w:rFonts w:ascii="Garamond" w:hAnsi="Garamond"/>
          <w:sz w:val="24"/>
          <w:szCs w:val="24"/>
        </w:rPr>
        <w:t>de l’appel à consultation</w:t>
      </w:r>
      <w:r>
        <w:rPr>
          <w:rFonts w:ascii="Garamond" w:hAnsi="Garamond"/>
          <w:spacing w:val="38"/>
          <w:sz w:val="24"/>
          <w:szCs w:val="24"/>
        </w:rPr>
        <w:t xml:space="preserve"> </w:t>
      </w:r>
      <w:r>
        <w:rPr>
          <w:rFonts w:ascii="Garamond" w:hAnsi="Garamond"/>
          <w:sz w:val="24"/>
          <w:szCs w:val="24"/>
        </w:rPr>
        <w:t>:</w:t>
      </w:r>
      <w:r>
        <w:rPr>
          <w:rFonts w:ascii="Garamond" w:hAnsi="Garamond" w:cs="Helvetica"/>
          <w:b/>
          <w:bCs/>
          <w:color w:val="333333"/>
          <w:sz w:val="24"/>
          <w:szCs w:val="24"/>
          <w:shd w:val="clear" w:color="auto" w:fill="FFFFFF"/>
        </w:rPr>
        <w:t xml:space="preserve"> Développement et Mise en place d’un système électronique normalisé de demande de permis APA pour l’accès aux ressources génétiques au Maroc</w:t>
      </w:r>
      <w:r>
        <w:rPr>
          <w:rFonts w:ascii="Garamond" w:hAnsi="Garamond" w:cstheme="majorHAnsi"/>
          <w:b/>
          <w:bCs/>
          <w:sz w:val="24"/>
          <w:szCs w:val="24"/>
        </w:rPr>
        <w:t>.</w:t>
      </w:r>
    </w:p>
    <w:p w:rsidR="003B5EBC" w:rsidRDefault="003B5EBC">
      <w:pPr>
        <w:spacing w:before="91" w:line="252" w:lineRule="exact"/>
        <w:ind w:left="169"/>
        <w:jc w:val="both"/>
        <w:rPr>
          <w:rFonts w:ascii="Garamond" w:hAnsi="Garamond" w:cs="Helvetica"/>
          <w:b/>
          <w:bCs/>
          <w:color w:val="333333"/>
          <w:sz w:val="24"/>
          <w:szCs w:val="24"/>
          <w:shd w:val="clear" w:color="auto" w:fill="FFFFFF"/>
          <w:lang w:val="fr-FR"/>
        </w:rPr>
      </w:pPr>
    </w:p>
    <w:p w:rsidR="003B5EBC" w:rsidRDefault="00A1518B">
      <w:pPr>
        <w:spacing w:before="91" w:line="252" w:lineRule="exact"/>
        <w:ind w:left="169"/>
        <w:jc w:val="both"/>
        <w:rPr>
          <w:rFonts w:ascii="Garamond" w:eastAsiaTheme="minorEastAsia" w:hAnsi="Garamond"/>
          <w:b/>
          <w:sz w:val="24"/>
          <w:szCs w:val="24"/>
          <w:lang w:eastAsia="zh-CN"/>
        </w:rPr>
      </w:pPr>
      <w:r>
        <w:rPr>
          <w:rFonts w:ascii="Garamond" w:hAnsi="Garamond"/>
          <w:sz w:val="24"/>
          <w:szCs w:val="24"/>
        </w:rPr>
        <w:t>Maître</w:t>
      </w:r>
      <w:r>
        <w:rPr>
          <w:rFonts w:ascii="Garamond" w:hAnsi="Garamond"/>
          <w:spacing w:val="-2"/>
          <w:sz w:val="24"/>
          <w:szCs w:val="24"/>
        </w:rPr>
        <w:t xml:space="preserve"> </w:t>
      </w:r>
      <w:r>
        <w:rPr>
          <w:rFonts w:ascii="Garamond" w:hAnsi="Garamond"/>
          <w:sz w:val="24"/>
          <w:szCs w:val="24"/>
        </w:rPr>
        <w:t xml:space="preserve">d’ouvrage </w:t>
      </w:r>
      <w:r>
        <w:rPr>
          <w:rFonts w:ascii="Garamond" w:hAnsi="Garamond"/>
          <w:b/>
          <w:sz w:val="24"/>
          <w:szCs w:val="24"/>
        </w:rPr>
        <w:t>:</w:t>
      </w:r>
      <w:r>
        <w:rPr>
          <w:rFonts w:ascii="Garamond" w:hAnsi="Garamond"/>
          <w:b/>
          <w:spacing w:val="-1"/>
          <w:sz w:val="24"/>
          <w:szCs w:val="24"/>
        </w:rPr>
        <w:t xml:space="preserve"> </w:t>
      </w:r>
      <w:r>
        <w:rPr>
          <w:rFonts w:ascii="Garamond" w:hAnsi="Garamond"/>
          <w:b/>
          <w:sz w:val="24"/>
          <w:szCs w:val="24"/>
        </w:rPr>
        <w:t>Département du Développement Durable</w:t>
      </w:r>
    </w:p>
    <w:p w:rsidR="003B5EBC" w:rsidRDefault="00A1518B">
      <w:pPr>
        <w:spacing w:before="162"/>
        <w:ind w:left="169"/>
        <w:jc w:val="both"/>
        <w:rPr>
          <w:rFonts w:ascii="Garamond" w:hAnsi="Garamond"/>
          <w:sz w:val="24"/>
          <w:szCs w:val="24"/>
        </w:rPr>
      </w:pPr>
      <w:r>
        <w:rPr>
          <w:rFonts w:ascii="Garamond" w:hAnsi="Garamond"/>
          <w:sz w:val="24"/>
          <w:szCs w:val="24"/>
        </w:rPr>
        <w:t>Passé</w:t>
      </w:r>
      <w:r>
        <w:rPr>
          <w:rFonts w:ascii="Garamond" w:hAnsi="Garamond"/>
          <w:spacing w:val="20"/>
          <w:sz w:val="24"/>
          <w:szCs w:val="24"/>
        </w:rPr>
        <w:t xml:space="preserve"> </w:t>
      </w:r>
      <w:r>
        <w:rPr>
          <w:rFonts w:ascii="Garamond" w:hAnsi="Garamond"/>
          <w:sz w:val="24"/>
          <w:szCs w:val="24"/>
        </w:rPr>
        <w:t>en</w:t>
      </w:r>
      <w:r>
        <w:rPr>
          <w:rFonts w:ascii="Garamond" w:hAnsi="Garamond"/>
          <w:spacing w:val="20"/>
          <w:sz w:val="24"/>
          <w:szCs w:val="24"/>
        </w:rPr>
        <w:t xml:space="preserve"> </w:t>
      </w:r>
      <w:r>
        <w:rPr>
          <w:rFonts w:ascii="Garamond" w:hAnsi="Garamond"/>
          <w:sz w:val="24"/>
          <w:szCs w:val="24"/>
        </w:rPr>
        <w:t>application</w:t>
      </w:r>
      <w:r>
        <w:rPr>
          <w:rFonts w:ascii="Garamond" w:hAnsi="Garamond"/>
          <w:spacing w:val="20"/>
          <w:sz w:val="24"/>
          <w:szCs w:val="24"/>
        </w:rPr>
        <w:t xml:space="preserve"> </w:t>
      </w:r>
      <w:r>
        <w:rPr>
          <w:rFonts w:ascii="Garamond" w:hAnsi="Garamond"/>
          <w:sz w:val="24"/>
          <w:szCs w:val="24"/>
        </w:rPr>
        <w:t>des</w:t>
      </w:r>
      <w:r>
        <w:rPr>
          <w:rFonts w:ascii="Garamond" w:hAnsi="Garamond"/>
          <w:spacing w:val="21"/>
          <w:sz w:val="24"/>
          <w:szCs w:val="24"/>
        </w:rPr>
        <w:t xml:space="preserve"> </w:t>
      </w:r>
      <w:r>
        <w:rPr>
          <w:rFonts w:ascii="Garamond" w:hAnsi="Garamond"/>
          <w:sz w:val="24"/>
          <w:szCs w:val="24"/>
        </w:rPr>
        <w:t>dispositions</w:t>
      </w:r>
      <w:r>
        <w:rPr>
          <w:rFonts w:ascii="Garamond" w:hAnsi="Garamond"/>
          <w:spacing w:val="21"/>
          <w:sz w:val="24"/>
          <w:szCs w:val="24"/>
        </w:rPr>
        <w:t xml:space="preserve"> </w:t>
      </w:r>
      <w:r>
        <w:rPr>
          <w:rFonts w:ascii="Garamond" w:hAnsi="Garamond"/>
          <w:sz w:val="24"/>
          <w:szCs w:val="24"/>
        </w:rPr>
        <w:t>fixées</w:t>
      </w:r>
      <w:r>
        <w:rPr>
          <w:rFonts w:ascii="Garamond" w:hAnsi="Garamond"/>
          <w:spacing w:val="21"/>
          <w:sz w:val="24"/>
          <w:szCs w:val="24"/>
        </w:rPr>
        <w:t xml:space="preserve"> </w:t>
      </w:r>
      <w:r>
        <w:rPr>
          <w:rFonts w:ascii="Garamond" w:hAnsi="Garamond"/>
          <w:sz w:val="24"/>
          <w:szCs w:val="24"/>
        </w:rPr>
        <w:t>par</w:t>
      </w:r>
      <w:r>
        <w:rPr>
          <w:rFonts w:ascii="Garamond" w:hAnsi="Garamond"/>
          <w:spacing w:val="21"/>
          <w:sz w:val="24"/>
          <w:szCs w:val="24"/>
        </w:rPr>
        <w:t xml:space="preserve"> </w:t>
      </w:r>
      <w:r>
        <w:rPr>
          <w:rFonts w:ascii="Garamond" w:hAnsi="Garamond"/>
          <w:sz w:val="24"/>
          <w:szCs w:val="24"/>
        </w:rPr>
        <w:t>le Département du Développement Durable relatives</w:t>
      </w:r>
      <w:r>
        <w:rPr>
          <w:rFonts w:ascii="Garamond" w:hAnsi="Garamond"/>
          <w:spacing w:val="-1"/>
          <w:sz w:val="24"/>
          <w:szCs w:val="24"/>
        </w:rPr>
        <w:t xml:space="preserve"> </w:t>
      </w:r>
      <w:r>
        <w:rPr>
          <w:rFonts w:ascii="Garamond" w:hAnsi="Garamond"/>
          <w:sz w:val="24"/>
          <w:szCs w:val="24"/>
        </w:rPr>
        <w:t>aux</w:t>
      </w:r>
      <w:r>
        <w:rPr>
          <w:rFonts w:ascii="Garamond" w:hAnsi="Garamond"/>
          <w:spacing w:val="-2"/>
          <w:sz w:val="24"/>
          <w:szCs w:val="24"/>
        </w:rPr>
        <w:t xml:space="preserve"> </w:t>
      </w:r>
      <w:r>
        <w:rPr>
          <w:rFonts w:ascii="Garamond" w:hAnsi="Garamond"/>
          <w:sz w:val="24"/>
          <w:szCs w:val="24"/>
        </w:rPr>
        <w:t>conditions</w:t>
      </w:r>
      <w:r>
        <w:rPr>
          <w:rFonts w:ascii="Garamond" w:hAnsi="Garamond"/>
          <w:spacing w:val="-2"/>
          <w:sz w:val="24"/>
          <w:szCs w:val="24"/>
        </w:rPr>
        <w:t xml:space="preserve"> </w:t>
      </w:r>
      <w:r>
        <w:rPr>
          <w:rFonts w:ascii="Garamond" w:hAnsi="Garamond"/>
          <w:sz w:val="24"/>
          <w:szCs w:val="24"/>
        </w:rPr>
        <w:t>et</w:t>
      </w:r>
      <w:r>
        <w:rPr>
          <w:rFonts w:ascii="Garamond" w:hAnsi="Garamond"/>
          <w:spacing w:val="-2"/>
          <w:sz w:val="24"/>
          <w:szCs w:val="24"/>
        </w:rPr>
        <w:t xml:space="preserve"> </w:t>
      </w:r>
      <w:r>
        <w:rPr>
          <w:rFonts w:ascii="Garamond" w:hAnsi="Garamond"/>
          <w:sz w:val="24"/>
          <w:szCs w:val="24"/>
        </w:rPr>
        <w:t xml:space="preserve">formes de passations des appels à consultation dans le cadre de projet de coopération internationale </w:t>
      </w:r>
      <w:r>
        <w:rPr>
          <w:rFonts w:ascii="Garamond" w:hAnsi="Garamond"/>
          <w:b/>
          <w:bCs/>
          <w:sz w:val="24"/>
          <w:szCs w:val="24"/>
        </w:rPr>
        <w:t xml:space="preserve">« </w:t>
      </w:r>
      <w:r>
        <w:rPr>
          <w:rFonts w:ascii="Garamond" w:hAnsi="Garamond"/>
          <w:b/>
          <w:bCs/>
          <w:i/>
          <w:iCs/>
          <w:sz w:val="24"/>
          <w:szCs w:val="24"/>
        </w:rPr>
        <w:t>Consolidation du cadre national APA et pilotage des produits et des chaines de valeur innovants dans le domaine des ressources génétiques afin d'améliorer le partage des avantages pour le développement rural durable et la conservation de la biodiversité (APA Nagoya II)</w:t>
      </w:r>
      <w:r>
        <w:rPr>
          <w:rFonts w:ascii="Garamond" w:hAnsi="Garamond"/>
          <w:b/>
          <w:bCs/>
          <w:sz w:val="24"/>
          <w:szCs w:val="24"/>
        </w:rPr>
        <w:t xml:space="preserve"> »</w:t>
      </w:r>
      <w:r>
        <w:rPr>
          <w:rFonts w:ascii="Garamond" w:hAnsi="Garamond"/>
          <w:sz w:val="24"/>
          <w:szCs w:val="24"/>
        </w:rPr>
        <w:t xml:space="preserve"> financé par le Fonds pour l’Environnement Mondial (Project ID : 01000687)  avec l’accompagnement et l’assurance qualité du Programme des Nations Unies pour le Développement.</w:t>
      </w:r>
    </w:p>
    <w:p w:rsidR="003B5EBC" w:rsidRDefault="003B5EBC">
      <w:pPr>
        <w:pStyle w:val="Corpsdetexte"/>
        <w:spacing w:before="5"/>
        <w:rPr>
          <w:rFonts w:ascii="Garamond" w:hAnsi="Garamond"/>
          <w:sz w:val="24"/>
          <w:szCs w:val="24"/>
        </w:rPr>
      </w:pPr>
    </w:p>
    <w:p w:rsidR="003B5EBC" w:rsidRDefault="00A1518B">
      <w:pPr>
        <w:pStyle w:val="Paragraphedeliste"/>
        <w:widowControl w:val="0"/>
        <w:numPr>
          <w:ilvl w:val="0"/>
          <w:numId w:val="51"/>
        </w:numPr>
        <w:tabs>
          <w:tab w:val="left" w:pos="458"/>
        </w:tabs>
        <w:autoSpaceDE w:val="0"/>
        <w:autoSpaceDN w:val="0"/>
        <w:spacing w:after="0" w:line="250" w:lineRule="exact"/>
        <w:ind w:hanging="289"/>
        <w:contextualSpacing w:val="0"/>
        <w:rPr>
          <w:rFonts w:ascii="Garamond" w:hAnsi="Garamond"/>
          <w:b/>
          <w:sz w:val="24"/>
          <w:szCs w:val="24"/>
        </w:rPr>
      </w:pPr>
      <w:r>
        <w:rPr>
          <w:rFonts w:ascii="Garamond" w:hAnsi="Garamond"/>
          <w:b/>
          <w:sz w:val="24"/>
          <w:szCs w:val="24"/>
        </w:rPr>
        <w:t>Pour</w:t>
      </w:r>
      <w:r>
        <w:rPr>
          <w:rFonts w:ascii="Garamond" w:hAnsi="Garamond"/>
          <w:b/>
          <w:spacing w:val="-2"/>
          <w:sz w:val="24"/>
          <w:szCs w:val="24"/>
        </w:rPr>
        <w:t xml:space="preserve"> </w:t>
      </w:r>
      <w:r>
        <w:rPr>
          <w:rFonts w:ascii="Garamond" w:hAnsi="Garamond"/>
          <w:b/>
          <w:sz w:val="24"/>
          <w:szCs w:val="24"/>
        </w:rPr>
        <w:t>les</w:t>
      </w:r>
      <w:r>
        <w:rPr>
          <w:rFonts w:ascii="Garamond" w:hAnsi="Garamond"/>
          <w:b/>
          <w:spacing w:val="-1"/>
          <w:sz w:val="24"/>
          <w:szCs w:val="24"/>
        </w:rPr>
        <w:t xml:space="preserve"> </w:t>
      </w:r>
      <w:r>
        <w:rPr>
          <w:rFonts w:ascii="Garamond" w:hAnsi="Garamond"/>
          <w:b/>
          <w:sz w:val="24"/>
          <w:szCs w:val="24"/>
        </w:rPr>
        <w:t>personnes</w:t>
      </w:r>
      <w:r>
        <w:rPr>
          <w:rFonts w:ascii="Garamond" w:hAnsi="Garamond"/>
          <w:b/>
          <w:spacing w:val="-1"/>
          <w:sz w:val="24"/>
          <w:szCs w:val="24"/>
        </w:rPr>
        <w:t xml:space="preserve"> </w:t>
      </w:r>
      <w:r>
        <w:rPr>
          <w:rFonts w:ascii="Garamond" w:hAnsi="Garamond"/>
          <w:b/>
          <w:sz w:val="24"/>
          <w:szCs w:val="24"/>
        </w:rPr>
        <w:t>morales</w:t>
      </w:r>
      <w:r>
        <w:rPr>
          <w:rFonts w:ascii="Garamond" w:hAnsi="Garamond"/>
          <w:b/>
          <w:spacing w:val="-2"/>
          <w:sz w:val="24"/>
          <w:szCs w:val="24"/>
        </w:rPr>
        <w:t xml:space="preserve"> </w:t>
      </w:r>
      <w:r>
        <w:rPr>
          <w:rFonts w:ascii="Garamond" w:hAnsi="Garamond"/>
          <w:b/>
          <w:sz w:val="24"/>
          <w:szCs w:val="24"/>
        </w:rPr>
        <w:t>:</w:t>
      </w:r>
    </w:p>
    <w:p w:rsidR="003B5EBC" w:rsidRDefault="003B5EBC">
      <w:pPr>
        <w:pStyle w:val="Paragraphedeliste"/>
        <w:widowControl w:val="0"/>
        <w:tabs>
          <w:tab w:val="left" w:pos="458"/>
        </w:tabs>
        <w:autoSpaceDE w:val="0"/>
        <w:autoSpaceDN w:val="0"/>
        <w:spacing w:after="0" w:line="250" w:lineRule="exact"/>
        <w:ind w:left="457"/>
        <w:contextualSpacing w:val="0"/>
        <w:rPr>
          <w:rFonts w:ascii="Garamond" w:hAnsi="Garamond"/>
          <w:b/>
          <w:sz w:val="24"/>
          <w:szCs w:val="24"/>
        </w:rPr>
      </w:pPr>
    </w:p>
    <w:p w:rsidR="003B5EBC" w:rsidRDefault="00A1518B">
      <w:pPr>
        <w:spacing w:line="250" w:lineRule="exact"/>
        <w:ind w:left="169"/>
        <w:rPr>
          <w:rFonts w:ascii="Garamond" w:hAnsi="Garamond"/>
          <w:sz w:val="24"/>
          <w:szCs w:val="24"/>
        </w:rPr>
      </w:pPr>
      <w:r>
        <w:rPr>
          <w:rFonts w:ascii="Garamond" w:hAnsi="Garamond"/>
          <w:sz w:val="24"/>
          <w:szCs w:val="24"/>
        </w:rPr>
        <w:t>Je</w:t>
      </w:r>
      <w:r>
        <w:rPr>
          <w:rFonts w:ascii="Garamond" w:hAnsi="Garamond"/>
          <w:spacing w:val="-4"/>
          <w:sz w:val="24"/>
          <w:szCs w:val="24"/>
        </w:rPr>
        <w:t xml:space="preserve"> </w:t>
      </w:r>
      <w:r>
        <w:rPr>
          <w:rFonts w:ascii="Garamond" w:hAnsi="Garamond"/>
          <w:sz w:val="24"/>
          <w:szCs w:val="24"/>
        </w:rPr>
        <w:t>soussigné</w:t>
      </w:r>
      <w:r>
        <w:rPr>
          <w:rFonts w:ascii="Garamond" w:hAnsi="Garamond"/>
          <w:spacing w:val="-4"/>
          <w:sz w:val="24"/>
          <w:szCs w:val="24"/>
        </w:rPr>
        <w:t xml:space="preserve"> </w:t>
      </w:r>
      <w:r>
        <w:rPr>
          <w:rFonts w:ascii="Garamond" w:hAnsi="Garamond"/>
          <w:sz w:val="24"/>
          <w:szCs w:val="24"/>
        </w:rPr>
        <w:t>:…………………………………………………………………….……………….</w:t>
      </w:r>
    </w:p>
    <w:p w:rsidR="003B5EBC" w:rsidRDefault="00A1518B">
      <w:pPr>
        <w:spacing w:before="1" w:line="252" w:lineRule="exact"/>
        <w:ind w:left="169"/>
        <w:rPr>
          <w:rFonts w:ascii="Garamond" w:hAnsi="Garamond"/>
          <w:sz w:val="24"/>
          <w:szCs w:val="24"/>
        </w:rPr>
      </w:pPr>
      <w:r>
        <w:rPr>
          <w:rFonts w:ascii="Garamond" w:hAnsi="Garamond"/>
          <w:sz w:val="24"/>
          <w:szCs w:val="24"/>
        </w:rPr>
        <w:t>Agissant</w:t>
      </w:r>
      <w:r>
        <w:rPr>
          <w:rFonts w:ascii="Garamond" w:hAnsi="Garamond"/>
          <w:spacing w:val="-3"/>
          <w:sz w:val="24"/>
          <w:szCs w:val="24"/>
        </w:rPr>
        <w:t xml:space="preserve"> </w:t>
      </w:r>
      <w:r>
        <w:rPr>
          <w:rFonts w:ascii="Garamond" w:hAnsi="Garamond"/>
          <w:sz w:val="24"/>
          <w:szCs w:val="24"/>
        </w:rPr>
        <w:t>en mon</w:t>
      </w:r>
      <w:r>
        <w:rPr>
          <w:rFonts w:ascii="Garamond" w:hAnsi="Garamond"/>
          <w:spacing w:val="-1"/>
          <w:sz w:val="24"/>
          <w:szCs w:val="24"/>
        </w:rPr>
        <w:t xml:space="preserve"> </w:t>
      </w:r>
      <w:r>
        <w:rPr>
          <w:rFonts w:ascii="Garamond" w:hAnsi="Garamond"/>
          <w:sz w:val="24"/>
          <w:szCs w:val="24"/>
        </w:rPr>
        <w:t>nom</w:t>
      </w:r>
      <w:r>
        <w:rPr>
          <w:rFonts w:ascii="Garamond" w:hAnsi="Garamond"/>
          <w:spacing w:val="-4"/>
          <w:sz w:val="24"/>
          <w:szCs w:val="24"/>
        </w:rPr>
        <w:t xml:space="preserve"> </w:t>
      </w:r>
      <w:r>
        <w:rPr>
          <w:rFonts w:ascii="Garamond" w:hAnsi="Garamond"/>
          <w:sz w:val="24"/>
          <w:szCs w:val="24"/>
        </w:rPr>
        <w:t>et pour mon</w:t>
      </w:r>
      <w:r>
        <w:rPr>
          <w:rFonts w:ascii="Garamond" w:hAnsi="Garamond"/>
          <w:spacing w:val="-1"/>
          <w:sz w:val="24"/>
          <w:szCs w:val="24"/>
        </w:rPr>
        <w:t xml:space="preserve"> </w:t>
      </w:r>
      <w:r>
        <w:rPr>
          <w:rFonts w:ascii="Garamond" w:hAnsi="Garamond"/>
          <w:sz w:val="24"/>
          <w:szCs w:val="24"/>
        </w:rPr>
        <w:t>propre compte,</w:t>
      </w:r>
    </w:p>
    <w:p w:rsidR="003B5EBC" w:rsidRDefault="00A1518B">
      <w:pPr>
        <w:spacing w:line="252" w:lineRule="exact"/>
        <w:ind w:left="169"/>
        <w:rPr>
          <w:rFonts w:ascii="Garamond" w:hAnsi="Garamond"/>
          <w:sz w:val="24"/>
          <w:szCs w:val="24"/>
        </w:rPr>
      </w:pPr>
      <w:r>
        <w:rPr>
          <w:rFonts w:ascii="Garamond" w:hAnsi="Garamond"/>
          <w:sz w:val="24"/>
          <w:szCs w:val="24"/>
        </w:rPr>
        <w:t>en</w:t>
      </w:r>
      <w:r>
        <w:rPr>
          <w:rFonts w:ascii="Garamond" w:hAnsi="Garamond"/>
          <w:spacing w:val="-2"/>
          <w:sz w:val="24"/>
          <w:szCs w:val="24"/>
        </w:rPr>
        <w:t xml:space="preserve"> </w:t>
      </w:r>
      <w:r>
        <w:rPr>
          <w:rFonts w:ascii="Garamond" w:hAnsi="Garamond"/>
          <w:sz w:val="24"/>
          <w:szCs w:val="24"/>
        </w:rPr>
        <w:t>qualité</w:t>
      </w:r>
      <w:r>
        <w:rPr>
          <w:rFonts w:ascii="Garamond" w:hAnsi="Garamond"/>
          <w:spacing w:val="-2"/>
          <w:sz w:val="24"/>
          <w:szCs w:val="24"/>
        </w:rPr>
        <w:t xml:space="preserve"> </w:t>
      </w:r>
      <w:r>
        <w:rPr>
          <w:rFonts w:ascii="Garamond" w:hAnsi="Garamond"/>
          <w:sz w:val="24"/>
          <w:szCs w:val="24"/>
        </w:rPr>
        <w:t>de</w:t>
      </w:r>
      <w:r>
        <w:rPr>
          <w:rFonts w:ascii="Garamond" w:hAnsi="Garamond"/>
          <w:spacing w:val="-2"/>
          <w:sz w:val="24"/>
          <w:szCs w:val="24"/>
        </w:rPr>
        <w:t xml:space="preserve"> </w:t>
      </w:r>
      <w:r>
        <w:rPr>
          <w:rFonts w:ascii="Garamond" w:hAnsi="Garamond"/>
          <w:sz w:val="24"/>
          <w:szCs w:val="24"/>
        </w:rPr>
        <w:t>,…………………………………………………………………….....</w:t>
      </w:r>
    </w:p>
    <w:p w:rsidR="003B5EBC" w:rsidRDefault="00A1518B">
      <w:pPr>
        <w:spacing w:line="252" w:lineRule="exact"/>
        <w:ind w:left="169"/>
        <w:rPr>
          <w:rFonts w:ascii="Garamond" w:hAnsi="Garamond"/>
          <w:sz w:val="24"/>
          <w:szCs w:val="24"/>
        </w:rPr>
      </w:pPr>
      <w:r>
        <w:rPr>
          <w:rFonts w:ascii="Garamond" w:hAnsi="Garamond"/>
          <w:sz w:val="24"/>
          <w:szCs w:val="24"/>
        </w:rPr>
        <w:t>Adresse</w:t>
      </w:r>
      <w:r>
        <w:rPr>
          <w:rFonts w:ascii="Garamond" w:hAnsi="Garamond"/>
          <w:spacing w:val="-3"/>
          <w:sz w:val="24"/>
          <w:szCs w:val="24"/>
        </w:rPr>
        <w:t xml:space="preserve"> </w:t>
      </w:r>
      <w:r>
        <w:rPr>
          <w:rFonts w:ascii="Garamond" w:hAnsi="Garamond"/>
          <w:sz w:val="24"/>
          <w:szCs w:val="24"/>
        </w:rPr>
        <w:t>du</w:t>
      </w:r>
      <w:r>
        <w:rPr>
          <w:rFonts w:ascii="Garamond" w:hAnsi="Garamond"/>
          <w:spacing w:val="-2"/>
          <w:sz w:val="24"/>
          <w:szCs w:val="24"/>
        </w:rPr>
        <w:t xml:space="preserve"> </w:t>
      </w:r>
      <w:r>
        <w:rPr>
          <w:rFonts w:ascii="Garamond" w:hAnsi="Garamond"/>
          <w:sz w:val="24"/>
          <w:szCs w:val="24"/>
        </w:rPr>
        <w:t>siège/domiciliation</w:t>
      </w:r>
      <w:r>
        <w:rPr>
          <w:rFonts w:ascii="Garamond" w:hAnsi="Garamond"/>
          <w:spacing w:val="-4"/>
          <w:sz w:val="24"/>
          <w:szCs w:val="24"/>
        </w:rPr>
        <w:t xml:space="preserve"> </w:t>
      </w:r>
      <w:r>
        <w:rPr>
          <w:rFonts w:ascii="Garamond" w:hAnsi="Garamond"/>
          <w:sz w:val="24"/>
          <w:szCs w:val="24"/>
        </w:rPr>
        <w:t>à….........................................................................................................................</w:t>
      </w:r>
    </w:p>
    <w:p w:rsidR="003B5EBC" w:rsidRDefault="00A1518B">
      <w:pPr>
        <w:spacing w:before="2" w:line="252" w:lineRule="exact"/>
        <w:ind w:left="169"/>
        <w:rPr>
          <w:rFonts w:ascii="Garamond" w:eastAsiaTheme="minorEastAsia" w:hAnsi="Garamond"/>
          <w:sz w:val="24"/>
          <w:szCs w:val="24"/>
          <w:lang w:eastAsia="zh-CN"/>
        </w:rPr>
      </w:pPr>
      <w:r>
        <w:rPr>
          <w:rFonts w:ascii="Garamond" w:hAnsi="Garamond"/>
          <w:sz w:val="24"/>
          <w:szCs w:val="24"/>
        </w:rPr>
        <w:t>Affilié</w:t>
      </w:r>
      <w:r>
        <w:rPr>
          <w:rFonts w:ascii="Garamond" w:hAnsi="Garamond"/>
          <w:spacing w:val="-1"/>
          <w:sz w:val="24"/>
          <w:szCs w:val="24"/>
        </w:rPr>
        <w:t xml:space="preserve"> </w:t>
      </w:r>
      <w:r>
        <w:rPr>
          <w:rFonts w:ascii="Garamond" w:hAnsi="Garamond"/>
          <w:sz w:val="24"/>
          <w:szCs w:val="24"/>
        </w:rPr>
        <w:t>à</w:t>
      </w:r>
      <w:r>
        <w:rPr>
          <w:rFonts w:ascii="Garamond" w:hAnsi="Garamond"/>
          <w:spacing w:val="-3"/>
          <w:sz w:val="24"/>
          <w:szCs w:val="24"/>
        </w:rPr>
        <w:t xml:space="preserve"> </w:t>
      </w:r>
      <w:r>
        <w:rPr>
          <w:rFonts w:ascii="Garamond" w:hAnsi="Garamond"/>
          <w:sz w:val="24"/>
          <w:szCs w:val="24"/>
        </w:rPr>
        <w:t>la C.N.S.S</w:t>
      </w:r>
      <w:r>
        <w:rPr>
          <w:rFonts w:ascii="Garamond" w:hAnsi="Garamond"/>
          <w:spacing w:val="-2"/>
          <w:sz w:val="24"/>
          <w:szCs w:val="24"/>
        </w:rPr>
        <w:t xml:space="preserve"> </w:t>
      </w:r>
      <w:r>
        <w:rPr>
          <w:rFonts w:ascii="Garamond" w:hAnsi="Garamond"/>
          <w:sz w:val="24"/>
          <w:szCs w:val="24"/>
        </w:rPr>
        <w:t>sous</w:t>
      </w:r>
      <w:r>
        <w:rPr>
          <w:rFonts w:ascii="Garamond" w:hAnsi="Garamond"/>
          <w:spacing w:val="-2"/>
          <w:sz w:val="24"/>
          <w:szCs w:val="24"/>
        </w:rPr>
        <w:t xml:space="preserve"> </w:t>
      </w:r>
      <w:r>
        <w:rPr>
          <w:rFonts w:ascii="Garamond" w:hAnsi="Garamond"/>
          <w:sz w:val="24"/>
          <w:szCs w:val="24"/>
        </w:rPr>
        <w:t>le</w:t>
      </w:r>
      <w:r>
        <w:rPr>
          <w:rFonts w:ascii="Garamond" w:hAnsi="Garamond"/>
          <w:spacing w:val="-3"/>
          <w:sz w:val="24"/>
          <w:szCs w:val="24"/>
        </w:rPr>
        <w:t xml:space="preserve"> </w:t>
      </w:r>
      <w:r>
        <w:rPr>
          <w:rFonts w:ascii="Garamond" w:hAnsi="Garamond"/>
          <w:sz w:val="24"/>
          <w:szCs w:val="24"/>
        </w:rPr>
        <w:t>n°……………......................……………….………………</w:t>
      </w:r>
    </w:p>
    <w:p w:rsidR="003B5EBC" w:rsidRDefault="00A1518B">
      <w:pPr>
        <w:spacing w:line="252" w:lineRule="exact"/>
        <w:ind w:left="169"/>
        <w:rPr>
          <w:rFonts w:ascii="Garamond" w:hAnsi="Garamond"/>
          <w:sz w:val="24"/>
          <w:szCs w:val="24"/>
        </w:rPr>
      </w:pPr>
      <w:r>
        <w:rPr>
          <w:rFonts w:ascii="Garamond" w:hAnsi="Garamond"/>
          <w:sz w:val="24"/>
          <w:szCs w:val="24"/>
        </w:rPr>
        <w:t>Inscrit</w:t>
      </w:r>
      <w:r>
        <w:rPr>
          <w:rFonts w:ascii="Garamond" w:hAnsi="Garamond"/>
          <w:spacing w:val="-1"/>
          <w:sz w:val="24"/>
          <w:szCs w:val="24"/>
        </w:rPr>
        <w:t xml:space="preserve"> </w:t>
      </w:r>
      <w:r>
        <w:rPr>
          <w:rFonts w:ascii="Garamond" w:hAnsi="Garamond"/>
          <w:sz w:val="24"/>
          <w:szCs w:val="24"/>
        </w:rPr>
        <w:t>au</w:t>
      </w:r>
      <w:r>
        <w:rPr>
          <w:rFonts w:ascii="Garamond" w:hAnsi="Garamond"/>
          <w:spacing w:val="-3"/>
          <w:sz w:val="24"/>
          <w:szCs w:val="24"/>
        </w:rPr>
        <w:t xml:space="preserve"> </w:t>
      </w:r>
      <w:r>
        <w:rPr>
          <w:rFonts w:ascii="Garamond" w:hAnsi="Garamond"/>
          <w:sz w:val="24"/>
          <w:szCs w:val="24"/>
        </w:rPr>
        <w:t>registre</w:t>
      </w:r>
      <w:r>
        <w:rPr>
          <w:rFonts w:ascii="Garamond" w:hAnsi="Garamond"/>
          <w:spacing w:val="-1"/>
          <w:sz w:val="24"/>
          <w:szCs w:val="24"/>
        </w:rPr>
        <w:t xml:space="preserve"> </w:t>
      </w:r>
      <w:r>
        <w:rPr>
          <w:rFonts w:ascii="Garamond" w:hAnsi="Garamond"/>
          <w:sz w:val="24"/>
          <w:szCs w:val="24"/>
        </w:rPr>
        <w:t>de</w:t>
      </w:r>
      <w:r>
        <w:rPr>
          <w:rFonts w:ascii="Garamond" w:hAnsi="Garamond"/>
          <w:spacing w:val="-2"/>
          <w:sz w:val="24"/>
          <w:szCs w:val="24"/>
        </w:rPr>
        <w:t xml:space="preserve"> </w:t>
      </w:r>
      <w:r>
        <w:rPr>
          <w:rFonts w:ascii="Garamond" w:hAnsi="Garamond"/>
          <w:sz w:val="24"/>
          <w:szCs w:val="24"/>
        </w:rPr>
        <w:t>commerce</w:t>
      </w:r>
      <w:r>
        <w:rPr>
          <w:rFonts w:ascii="Garamond" w:hAnsi="Garamond"/>
          <w:spacing w:val="-3"/>
          <w:sz w:val="24"/>
          <w:szCs w:val="24"/>
        </w:rPr>
        <w:t xml:space="preserve"> </w:t>
      </w:r>
      <w:r>
        <w:rPr>
          <w:rFonts w:ascii="Garamond" w:hAnsi="Garamond"/>
          <w:sz w:val="24"/>
          <w:szCs w:val="24"/>
        </w:rPr>
        <w:t>de………………….………sous</w:t>
      </w:r>
      <w:r>
        <w:rPr>
          <w:rFonts w:ascii="Garamond" w:hAnsi="Garamond"/>
          <w:spacing w:val="-1"/>
          <w:sz w:val="24"/>
          <w:szCs w:val="24"/>
        </w:rPr>
        <w:t xml:space="preserve"> </w:t>
      </w:r>
      <w:r>
        <w:rPr>
          <w:rFonts w:ascii="Garamond" w:hAnsi="Garamond"/>
          <w:sz w:val="24"/>
          <w:szCs w:val="24"/>
        </w:rPr>
        <w:t>le</w:t>
      </w:r>
      <w:r>
        <w:rPr>
          <w:rFonts w:ascii="Garamond" w:hAnsi="Garamond"/>
          <w:spacing w:val="2"/>
          <w:sz w:val="24"/>
          <w:szCs w:val="24"/>
        </w:rPr>
        <w:t xml:space="preserve"> </w:t>
      </w:r>
      <w:r>
        <w:rPr>
          <w:rFonts w:ascii="Garamond" w:hAnsi="Garamond"/>
          <w:sz w:val="24"/>
          <w:szCs w:val="24"/>
        </w:rPr>
        <w:t>n°...............................................</w:t>
      </w:r>
    </w:p>
    <w:p w:rsidR="003B5EBC" w:rsidRDefault="00A1518B">
      <w:pPr>
        <w:spacing w:before="1" w:line="252" w:lineRule="exact"/>
        <w:ind w:left="169"/>
        <w:rPr>
          <w:rFonts w:ascii="Garamond" w:hAnsi="Garamond"/>
          <w:sz w:val="24"/>
          <w:szCs w:val="24"/>
        </w:rPr>
      </w:pPr>
      <w:r>
        <w:rPr>
          <w:rFonts w:ascii="Garamond" w:hAnsi="Garamond"/>
          <w:sz w:val="24"/>
          <w:szCs w:val="24"/>
        </w:rPr>
        <w:t>N°</w:t>
      </w:r>
      <w:r>
        <w:rPr>
          <w:rFonts w:ascii="Garamond" w:hAnsi="Garamond"/>
          <w:spacing w:val="-4"/>
          <w:sz w:val="24"/>
          <w:szCs w:val="24"/>
        </w:rPr>
        <w:t xml:space="preserve"> </w:t>
      </w:r>
      <w:r>
        <w:rPr>
          <w:rFonts w:ascii="Garamond" w:hAnsi="Garamond"/>
          <w:sz w:val="24"/>
          <w:szCs w:val="24"/>
        </w:rPr>
        <w:t>de</w:t>
      </w:r>
      <w:r>
        <w:rPr>
          <w:rFonts w:ascii="Garamond" w:hAnsi="Garamond"/>
          <w:spacing w:val="-1"/>
          <w:sz w:val="24"/>
          <w:szCs w:val="24"/>
        </w:rPr>
        <w:t xml:space="preserve"> </w:t>
      </w:r>
      <w:r>
        <w:rPr>
          <w:rFonts w:ascii="Garamond" w:hAnsi="Garamond"/>
          <w:sz w:val="24"/>
          <w:szCs w:val="24"/>
        </w:rPr>
        <w:t>Taxe</w:t>
      </w:r>
      <w:r>
        <w:rPr>
          <w:rFonts w:ascii="Garamond" w:hAnsi="Garamond"/>
          <w:spacing w:val="-1"/>
          <w:sz w:val="24"/>
          <w:szCs w:val="24"/>
        </w:rPr>
        <w:t xml:space="preserve"> </w:t>
      </w:r>
      <w:r>
        <w:rPr>
          <w:rFonts w:ascii="Garamond" w:hAnsi="Garamond"/>
          <w:sz w:val="24"/>
          <w:szCs w:val="24"/>
        </w:rPr>
        <w:t>professionnelle</w:t>
      </w:r>
      <w:r>
        <w:rPr>
          <w:rFonts w:ascii="Garamond" w:hAnsi="Garamond"/>
          <w:spacing w:val="-3"/>
          <w:sz w:val="24"/>
          <w:szCs w:val="24"/>
        </w:rPr>
        <w:t xml:space="preserve"> </w:t>
      </w:r>
      <w:r>
        <w:rPr>
          <w:rFonts w:ascii="Garamond" w:hAnsi="Garamond"/>
          <w:sz w:val="24"/>
          <w:szCs w:val="24"/>
        </w:rPr>
        <w:t>…………………………………………………………………………</w:t>
      </w:r>
    </w:p>
    <w:p w:rsidR="003B5EBC" w:rsidRDefault="00A1518B">
      <w:pPr>
        <w:spacing w:line="252" w:lineRule="exact"/>
        <w:ind w:left="169"/>
        <w:rPr>
          <w:rFonts w:ascii="Garamond" w:hAnsi="Garamond"/>
          <w:sz w:val="24"/>
          <w:szCs w:val="24"/>
        </w:rPr>
      </w:pPr>
      <w:r>
        <w:rPr>
          <w:rFonts w:ascii="Garamond" w:hAnsi="Garamond"/>
          <w:sz w:val="24"/>
          <w:szCs w:val="24"/>
        </w:rPr>
        <w:t>CIN n°………………………………………………………...</w:t>
      </w:r>
    </w:p>
    <w:p w:rsidR="003B5EBC" w:rsidRDefault="00A1518B">
      <w:pPr>
        <w:spacing w:line="252" w:lineRule="exact"/>
        <w:ind w:left="169"/>
        <w:rPr>
          <w:rFonts w:ascii="Garamond" w:hAnsi="Garamond"/>
          <w:sz w:val="24"/>
          <w:szCs w:val="24"/>
        </w:rPr>
      </w:pPr>
      <w:r>
        <w:rPr>
          <w:rFonts w:ascii="Garamond" w:hAnsi="Garamond"/>
          <w:sz w:val="24"/>
          <w:szCs w:val="24"/>
        </w:rPr>
        <w:t>N°</w:t>
      </w:r>
      <w:r>
        <w:rPr>
          <w:rFonts w:ascii="Garamond" w:hAnsi="Garamond"/>
          <w:spacing w:val="-3"/>
          <w:sz w:val="24"/>
          <w:szCs w:val="24"/>
        </w:rPr>
        <w:t xml:space="preserve"> </w:t>
      </w:r>
      <w:r>
        <w:rPr>
          <w:rFonts w:ascii="Garamond" w:hAnsi="Garamond"/>
          <w:sz w:val="24"/>
          <w:szCs w:val="24"/>
        </w:rPr>
        <w:t>de</w:t>
      </w:r>
      <w:r>
        <w:rPr>
          <w:rFonts w:ascii="Garamond" w:hAnsi="Garamond"/>
          <w:spacing w:val="-1"/>
          <w:sz w:val="24"/>
          <w:szCs w:val="24"/>
        </w:rPr>
        <w:t xml:space="preserve"> </w:t>
      </w:r>
      <w:r>
        <w:rPr>
          <w:rFonts w:ascii="Garamond" w:hAnsi="Garamond"/>
          <w:sz w:val="24"/>
          <w:szCs w:val="24"/>
        </w:rPr>
        <w:t>téléphone</w:t>
      </w:r>
      <w:r>
        <w:rPr>
          <w:rFonts w:ascii="Garamond" w:hAnsi="Garamond"/>
          <w:spacing w:val="-2"/>
          <w:sz w:val="24"/>
          <w:szCs w:val="24"/>
        </w:rPr>
        <w:t xml:space="preserve"> </w:t>
      </w:r>
      <w:r>
        <w:rPr>
          <w:rFonts w:ascii="Garamond" w:hAnsi="Garamond"/>
          <w:sz w:val="24"/>
          <w:szCs w:val="24"/>
        </w:rPr>
        <w:t>: …………………………………………………………………………..</w:t>
      </w:r>
    </w:p>
    <w:p w:rsidR="003B5EBC" w:rsidRDefault="00A1518B">
      <w:pPr>
        <w:spacing w:before="1"/>
        <w:ind w:left="169"/>
        <w:rPr>
          <w:rFonts w:ascii="Garamond" w:hAnsi="Garamond"/>
          <w:sz w:val="24"/>
          <w:szCs w:val="24"/>
        </w:rPr>
      </w:pPr>
      <w:r>
        <w:rPr>
          <w:rFonts w:ascii="Garamond" w:hAnsi="Garamond"/>
          <w:sz w:val="24"/>
          <w:szCs w:val="24"/>
        </w:rPr>
        <w:t>Adresse</w:t>
      </w:r>
      <w:r>
        <w:rPr>
          <w:rFonts w:ascii="Garamond" w:hAnsi="Garamond"/>
          <w:spacing w:val="-4"/>
          <w:sz w:val="24"/>
          <w:szCs w:val="24"/>
        </w:rPr>
        <w:t xml:space="preserve"> </w:t>
      </w:r>
      <w:r>
        <w:rPr>
          <w:rFonts w:ascii="Garamond" w:hAnsi="Garamond"/>
          <w:sz w:val="24"/>
          <w:szCs w:val="24"/>
        </w:rPr>
        <w:t>électronique</w:t>
      </w:r>
      <w:r>
        <w:rPr>
          <w:rFonts w:ascii="Garamond" w:hAnsi="Garamond"/>
          <w:spacing w:val="-2"/>
          <w:sz w:val="24"/>
          <w:szCs w:val="24"/>
        </w:rPr>
        <w:t xml:space="preserve"> </w:t>
      </w:r>
      <w:r>
        <w:rPr>
          <w:rFonts w:ascii="Garamond" w:hAnsi="Garamond"/>
          <w:sz w:val="24"/>
          <w:szCs w:val="24"/>
        </w:rPr>
        <w:t>:…………………………….……………………………………</w:t>
      </w:r>
    </w:p>
    <w:p w:rsidR="003B5EBC" w:rsidRDefault="00A1518B">
      <w:pPr>
        <w:spacing w:after="0" w:line="240" w:lineRule="auto"/>
        <w:rPr>
          <w:rFonts w:ascii="Garamond" w:hAnsi="Garamond"/>
          <w:sz w:val="24"/>
          <w:szCs w:val="24"/>
        </w:rPr>
      </w:pPr>
      <w:r>
        <w:rPr>
          <w:rFonts w:ascii="Garamond" w:hAnsi="Garamond"/>
          <w:sz w:val="24"/>
          <w:szCs w:val="24"/>
        </w:rPr>
        <w:br w:type="page"/>
      </w:r>
    </w:p>
    <w:p w:rsidR="003B5EBC" w:rsidRDefault="00A1518B">
      <w:pPr>
        <w:ind w:left="169"/>
        <w:rPr>
          <w:rFonts w:ascii="Garamond" w:hAnsi="Garamond"/>
          <w:sz w:val="24"/>
          <w:szCs w:val="24"/>
        </w:rPr>
      </w:pPr>
      <w:r>
        <w:rPr>
          <w:rFonts w:ascii="Garamond" w:hAnsi="Garamond"/>
          <w:sz w:val="24"/>
          <w:szCs w:val="24"/>
        </w:rPr>
        <w:lastRenderedPageBreak/>
        <w:t>En vertu des pouvoirs qui me sont conférés (Ci-joint la décision des organes sociaux ou de la procuration valablement établie) :</w:t>
      </w:r>
    </w:p>
    <w:p w:rsidR="003B5EBC" w:rsidRDefault="00A1518B">
      <w:pPr>
        <w:ind w:left="169" w:right="102"/>
        <w:jc w:val="both"/>
        <w:rPr>
          <w:rFonts w:ascii="Garamond" w:hAnsi="Garamond"/>
          <w:sz w:val="24"/>
          <w:szCs w:val="24"/>
        </w:rPr>
      </w:pPr>
      <w:r>
        <w:rPr>
          <w:rFonts w:ascii="Garamond" w:hAnsi="Garamond"/>
          <w:sz w:val="24"/>
          <w:szCs w:val="24"/>
        </w:rPr>
        <w:t>Après avoir pris connaissance du dossier de cet appel à consultation et obtenu du Maître d’ouvrage toutes les informations complémentaires nécessaires à ma parfaite compréhension du contenu des travaux et des difficultés et des risques potentiels que comportent ces prestations :</w:t>
      </w:r>
    </w:p>
    <w:p w:rsidR="003B5EBC" w:rsidRDefault="00A1518B">
      <w:pPr>
        <w:pStyle w:val="Paragraphedeliste"/>
        <w:widowControl w:val="0"/>
        <w:numPr>
          <w:ilvl w:val="1"/>
          <w:numId w:val="52"/>
        </w:numPr>
        <w:tabs>
          <w:tab w:val="left" w:pos="955"/>
        </w:tabs>
        <w:autoSpaceDE w:val="0"/>
        <w:autoSpaceDN w:val="0"/>
        <w:spacing w:after="0" w:line="240" w:lineRule="auto"/>
        <w:ind w:right="111"/>
        <w:contextualSpacing w:val="0"/>
        <w:rPr>
          <w:rFonts w:ascii="Garamond" w:hAnsi="Garamond"/>
          <w:sz w:val="24"/>
          <w:szCs w:val="24"/>
        </w:rPr>
      </w:pPr>
      <w:r>
        <w:rPr>
          <w:rFonts w:ascii="Garamond" w:hAnsi="Garamond"/>
          <w:sz w:val="24"/>
          <w:szCs w:val="24"/>
        </w:rPr>
        <w:t>Remets, revêtu de ma signature, un bordereau de prix et un détail estimatif établi conformément aux modèles figurant au dossier de la consultation ;</w:t>
      </w:r>
    </w:p>
    <w:p w:rsidR="003B5EBC" w:rsidRDefault="00A1518B">
      <w:pPr>
        <w:pStyle w:val="Paragraphedeliste"/>
        <w:widowControl w:val="0"/>
        <w:numPr>
          <w:ilvl w:val="1"/>
          <w:numId w:val="52"/>
        </w:numPr>
        <w:tabs>
          <w:tab w:val="left" w:pos="955"/>
        </w:tabs>
        <w:autoSpaceDE w:val="0"/>
        <w:autoSpaceDN w:val="0"/>
        <w:spacing w:after="0" w:line="240" w:lineRule="auto"/>
        <w:ind w:right="111"/>
        <w:contextualSpacing w:val="0"/>
        <w:rPr>
          <w:rFonts w:ascii="Garamond" w:hAnsi="Garamond"/>
          <w:sz w:val="24"/>
          <w:szCs w:val="24"/>
        </w:rPr>
      </w:pPr>
      <w:r>
        <w:rPr>
          <w:rFonts w:ascii="Garamond" w:hAnsi="Garamond"/>
          <w:sz w:val="24"/>
          <w:szCs w:val="24"/>
        </w:rPr>
        <w:t>M’engage à exécuter lesdits prestations dans le strict respect des termes de références et moyennant les prix que j’ai établi moi-même lesquels font ressortir :</w:t>
      </w:r>
    </w:p>
    <w:p w:rsidR="003B5EBC" w:rsidRDefault="003B5EBC">
      <w:pPr>
        <w:pStyle w:val="Paragraphedeliste"/>
        <w:widowControl w:val="0"/>
        <w:tabs>
          <w:tab w:val="left" w:pos="955"/>
        </w:tabs>
        <w:autoSpaceDE w:val="0"/>
        <w:autoSpaceDN w:val="0"/>
        <w:spacing w:after="0" w:line="240" w:lineRule="auto"/>
        <w:ind w:left="954" w:right="111"/>
        <w:contextualSpacing w:val="0"/>
        <w:rPr>
          <w:rFonts w:ascii="Garamond" w:hAnsi="Garamond"/>
          <w:sz w:val="24"/>
          <w:szCs w:val="24"/>
        </w:rPr>
      </w:pPr>
    </w:p>
    <w:p w:rsidR="003B5EBC" w:rsidRDefault="00A1518B">
      <w:pPr>
        <w:tabs>
          <w:tab w:val="left" w:leader="dot" w:pos="6765"/>
        </w:tabs>
        <w:spacing w:before="71"/>
        <w:ind w:left="452"/>
        <w:jc w:val="both"/>
        <w:rPr>
          <w:rFonts w:ascii="Garamond" w:hAnsi="Garamond"/>
          <w:sz w:val="24"/>
          <w:szCs w:val="24"/>
        </w:rPr>
      </w:pPr>
      <w:r>
        <w:rPr>
          <w:rFonts w:ascii="Garamond" w:hAnsi="Garamond"/>
          <w:noProof/>
          <w:sz w:val="24"/>
          <w:szCs w:val="24"/>
          <w:lang w:val="fr-FR" w:eastAsia="fr-FR"/>
        </w:rPr>
        <mc:AlternateContent>
          <mc:Choice Requires="wps">
            <w:drawing>
              <wp:anchor distT="0" distB="0" distL="114300" distR="114300" simplePos="0" relativeHeight="251659264" behindDoc="0" locked="0" layoutInCell="1" allowOverlap="1">
                <wp:simplePos x="0" y="0"/>
                <wp:positionH relativeFrom="page">
                  <wp:posOffset>341630</wp:posOffset>
                </wp:positionH>
                <wp:positionV relativeFrom="page">
                  <wp:posOffset>10093325</wp:posOffset>
                </wp:positionV>
                <wp:extent cx="6699250" cy="635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6350"/>
                        </a:xfrm>
                        <a:prstGeom prst="rect">
                          <a:avLst/>
                        </a:prstGeom>
                        <a:solidFill>
                          <a:srgbClr val="000000"/>
                        </a:solidFill>
                        <a:ln>
                          <a:noFill/>
                        </a:ln>
                      </wps:spPr>
                      <wps:txbx>
                        <w:txbxContent>
                          <w:p w:rsidR="004E5735" w:rsidRDefault="004E5735">
                            <w:pPr>
                              <w:jc w:val="center"/>
                            </w:pPr>
                          </w:p>
                        </w:txbxContent>
                      </wps:txbx>
                      <wps:bodyPr rot="0" vert="horz" wrap="square" lIns="91440" tIns="45720" rIns="91440" bIns="45720" anchor="t" anchorCtr="0" upright="1">
                        <a:noAutofit/>
                      </wps:bodyPr>
                    </wps:wsp>
                  </a:graphicData>
                </a:graphic>
              </wp:anchor>
            </w:drawing>
          </mc:Choice>
          <mc:Fallback>
            <w:pict>
              <v:rect id="Rectangle 22" o:spid="_x0000_s1026" style="position:absolute;left:0;text-align:left;margin-left:26.9pt;margin-top:794.75pt;width:527.5pt;height:.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" fillcolor="black" stroked="f">
                <v:textbox>
                  <w:txbxContent>
                    <w:p w:rsidR="004E5735" w:rsidRDefault="004E5735">
                      <w:pPr>
                        <w:jc w:val="center"/>
                      </w:pPr>
                    </w:p>
                  </w:txbxContent>
                </v:textbox>
                <w10:wrap anchorx="page" anchory="page"/>
              </v:rect>
            </w:pict>
          </mc:Fallback>
        </mc:AlternateContent>
      </w:r>
      <w:r>
        <w:rPr>
          <w:rFonts w:ascii="Garamond" w:hAnsi="Garamond"/>
          <w:sz w:val="24"/>
          <w:szCs w:val="24"/>
        </w:rPr>
        <w:t>Montant</w:t>
      </w:r>
      <w:r>
        <w:rPr>
          <w:rFonts w:ascii="Garamond" w:hAnsi="Garamond"/>
          <w:spacing w:val="-3"/>
          <w:sz w:val="24"/>
          <w:szCs w:val="24"/>
        </w:rPr>
        <w:t xml:space="preserve"> </w:t>
      </w:r>
      <w:r>
        <w:rPr>
          <w:rFonts w:ascii="Garamond" w:hAnsi="Garamond"/>
          <w:sz w:val="24"/>
          <w:szCs w:val="24"/>
        </w:rPr>
        <w:t>hors</w:t>
      </w:r>
      <w:r>
        <w:rPr>
          <w:rFonts w:ascii="Garamond" w:hAnsi="Garamond"/>
          <w:spacing w:val="-2"/>
          <w:sz w:val="24"/>
          <w:szCs w:val="24"/>
        </w:rPr>
        <w:t xml:space="preserve"> </w:t>
      </w:r>
      <w:r>
        <w:rPr>
          <w:rFonts w:ascii="Garamond" w:hAnsi="Garamond"/>
          <w:sz w:val="24"/>
          <w:szCs w:val="24"/>
        </w:rPr>
        <w:t>T.V.A</w:t>
      </w:r>
      <w:r>
        <w:rPr>
          <w:rFonts w:ascii="Garamond" w:hAnsi="Garamond"/>
          <w:sz w:val="24"/>
          <w:szCs w:val="24"/>
        </w:rPr>
        <w:tab/>
        <w:t>(En</w:t>
      </w:r>
      <w:r>
        <w:rPr>
          <w:rFonts w:ascii="Garamond" w:hAnsi="Garamond"/>
          <w:spacing w:val="-4"/>
          <w:sz w:val="24"/>
          <w:szCs w:val="24"/>
        </w:rPr>
        <w:t xml:space="preserve"> </w:t>
      </w:r>
      <w:r>
        <w:rPr>
          <w:rFonts w:ascii="Garamond" w:hAnsi="Garamond"/>
          <w:sz w:val="24"/>
          <w:szCs w:val="24"/>
        </w:rPr>
        <w:t>lettres</w:t>
      </w:r>
      <w:r>
        <w:rPr>
          <w:rFonts w:ascii="Garamond" w:hAnsi="Garamond"/>
          <w:spacing w:val="-1"/>
          <w:sz w:val="24"/>
          <w:szCs w:val="24"/>
        </w:rPr>
        <w:t xml:space="preserve"> </w:t>
      </w:r>
      <w:r>
        <w:rPr>
          <w:rFonts w:ascii="Garamond" w:hAnsi="Garamond"/>
          <w:sz w:val="24"/>
          <w:szCs w:val="24"/>
        </w:rPr>
        <w:t>et</w:t>
      </w:r>
      <w:r>
        <w:rPr>
          <w:rFonts w:ascii="Garamond" w:hAnsi="Garamond"/>
          <w:spacing w:val="-1"/>
          <w:sz w:val="24"/>
          <w:szCs w:val="24"/>
        </w:rPr>
        <w:t xml:space="preserve"> </w:t>
      </w:r>
      <w:r>
        <w:rPr>
          <w:rFonts w:ascii="Garamond" w:hAnsi="Garamond"/>
          <w:sz w:val="24"/>
          <w:szCs w:val="24"/>
        </w:rPr>
        <w:t>en</w:t>
      </w:r>
      <w:r>
        <w:rPr>
          <w:rFonts w:ascii="Garamond" w:hAnsi="Garamond"/>
          <w:spacing w:val="1"/>
          <w:sz w:val="24"/>
          <w:szCs w:val="24"/>
        </w:rPr>
        <w:t xml:space="preserve"> </w:t>
      </w:r>
      <w:r>
        <w:rPr>
          <w:rFonts w:ascii="Garamond" w:hAnsi="Garamond"/>
          <w:sz w:val="24"/>
          <w:szCs w:val="24"/>
        </w:rPr>
        <w:t>chiffres)</w:t>
      </w:r>
    </w:p>
    <w:p w:rsidR="003B5EBC" w:rsidRDefault="003B5EBC">
      <w:pPr>
        <w:tabs>
          <w:tab w:val="left" w:leader="dot" w:pos="6765"/>
        </w:tabs>
        <w:spacing w:before="71"/>
        <w:ind w:left="452"/>
        <w:jc w:val="both"/>
        <w:rPr>
          <w:rFonts w:ascii="Garamond" w:hAnsi="Garamond"/>
          <w:sz w:val="24"/>
          <w:szCs w:val="24"/>
        </w:rPr>
      </w:pPr>
    </w:p>
    <w:p w:rsidR="003B5EBC" w:rsidRDefault="00A1518B">
      <w:pPr>
        <w:tabs>
          <w:tab w:val="left" w:leader="dot" w:pos="7279"/>
        </w:tabs>
        <w:ind w:left="169" w:right="107"/>
        <w:jc w:val="both"/>
        <w:rPr>
          <w:rFonts w:ascii="Garamond" w:hAnsi="Garamond"/>
          <w:sz w:val="24"/>
          <w:szCs w:val="24"/>
        </w:rPr>
      </w:pPr>
      <w:r>
        <w:rPr>
          <w:rFonts w:ascii="Garamond" w:hAnsi="Garamond"/>
          <w:sz w:val="24"/>
          <w:szCs w:val="24"/>
        </w:rPr>
        <w:t>Le Département du Développement Durable et le PNUD se libèrent des sommes dues par elle en faisant donner crédit au</w:t>
      </w:r>
      <w:r>
        <w:rPr>
          <w:rFonts w:ascii="Garamond" w:hAnsi="Garamond"/>
          <w:spacing w:val="1"/>
          <w:sz w:val="24"/>
          <w:szCs w:val="24"/>
        </w:rPr>
        <w:t xml:space="preserve"> </w:t>
      </w:r>
      <w:r>
        <w:rPr>
          <w:rFonts w:ascii="Garamond" w:hAnsi="Garamond"/>
          <w:sz w:val="24"/>
          <w:szCs w:val="24"/>
        </w:rPr>
        <w:t>compte</w:t>
      </w:r>
      <w:r>
        <w:rPr>
          <w:rFonts w:ascii="Garamond" w:hAnsi="Garamond"/>
          <w:spacing w:val="1"/>
          <w:sz w:val="24"/>
          <w:szCs w:val="24"/>
        </w:rPr>
        <w:t xml:space="preserve"> </w:t>
      </w:r>
      <w:r>
        <w:rPr>
          <w:rFonts w:ascii="Garamond" w:hAnsi="Garamond"/>
          <w:sz w:val="24"/>
          <w:szCs w:val="24"/>
        </w:rPr>
        <w:t>bancaire</w:t>
      </w:r>
      <w:r>
        <w:rPr>
          <w:rFonts w:ascii="Garamond" w:hAnsi="Garamond"/>
          <w:spacing w:val="56"/>
          <w:sz w:val="24"/>
          <w:szCs w:val="24"/>
        </w:rPr>
        <w:t xml:space="preserve"> </w:t>
      </w:r>
      <w:r>
        <w:rPr>
          <w:rFonts w:ascii="Garamond" w:hAnsi="Garamond"/>
          <w:sz w:val="24"/>
          <w:szCs w:val="24"/>
        </w:rPr>
        <w:t>ouvert</w:t>
      </w:r>
      <w:r>
        <w:rPr>
          <w:rFonts w:ascii="Garamond" w:hAnsi="Garamond"/>
          <w:spacing w:val="56"/>
          <w:sz w:val="24"/>
          <w:szCs w:val="24"/>
        </w:rPr>
        <w:t xml:space="preserve"> </w:t>
      </w:r>
      <w:r>
        <w:rPr>
          <w:rFonts w:ascii="Garamond" w:hAnsi="Garamond"/>
          <w:sz w:val="24"/>
          <w:szCs w:val="24"/>
        </w:rPr>
        <w:t>à</w:t>
      </w:r>
      <w:r>
        <w:rPr>
          <w:rFonts w:ascii="Garamond" w:hAnsi="Garamond"/>
          <w:spacing w:val="56"/>
          <w:sz w:val="24"/>
          <w:szCs w:val="24"/>
        </w:rPr>
        <w:t xml:space="preserve"> </w:t>
      </w:r>
      <w:r>
        <w:rPr>
          <w:rFonts w:ascii="Garamond" w:hAnsi="Garamond"/>
          <w:sz w:val="24"/>
          <w:szCs w:val="24"/>
        </w:rPr>
        <w:t>mon</w:t>
      </w:r>
      <w:r>
        <w:rPr>
          <w:rFonts w:ascii="Garamond" w:hAnsi="Garamond"/>
          <w:spacing w:val="56"/>
          <w:sz w:val="24"/>
          <w:szCs w:val="24"/>
        </w:rPr>
        <w:t xml:space="preserve"> </w:t>
      </w:r>
      <w:r>
        <w:rPr>
          <w:rFonts w:ascii="Garamond" w:hAnsi="Garamond"/>
          <w:sz w:val="24"/>
          <w:szCs w:val="24"/>
        </w:rPr>
        <w:t>nom</w:t>
      </w:r>
      <w:r>
        <w:rPr>
          <w:rFonts w:ascii="Garamond" w:hAnsi="Garamond"/>
          <w:spacing w:val="55"/>
          <w:sz w:val="24"/>
          <w:szCs w:val="24"/>
        </w:rPr>
        <w:t xml:space="preserve"> </w:t>
      </w:r>
      <w:r>
        <w:rPr>
          <w:rFonts w:ascii="Garamond" w:hAnsi="Garamond"/>
          <w:sz w:val="24"/>
          <w:szCs w:val="24"/>
        </w:rPr>
        <w:t>(ou</w:t>
      </w:r>
      <w:r>
        <w:rPr>
          <w:rFonts w:ascii="Garamond" w:hAnsi="Garamond"/>
          <w:spacing w:val="56"/>
          <w:sz w:val="24"/>
          <w:szCs w:val="24"/>
        </w:rPr>
        <w:t xml:space="preserve"> </w:t>
      </w:r>
      <w:r>
        <w:rPr>
          <w:rFonts w:ascii="Garamond" w:hAnsi="Garamond"/>
          <w:sz w:val="24"/>
          <w:szCs w:val="24"/>
        </w:rPr>
        <w:t>au</w:t>
      </w:r>
      <w:r>
        <w:rPr>
          <w:rFonts w:ascii="Garamond" w:hAnsi="Garamond"/>
          <w:spacing w:val="56"/>
          <w:sz w:val="24"/>
          <w:szCs w:val="24"/>
        </w:rPr>
        <w:t xml:space="preserve"> </w:t>
      </w:r>
      <w:r>
        <w:rPr>
          <w:rFonts w:ascii="Garamond" w:hAnsi="Garamond"/>
          <w:sz w:val="24"/>
          <w:szCs w:val="24"/>
        </w:rPr>
        <w:t>nom</w:t>
      </w:r>
      <w:r>
        <w:rPr>
          <w:rFonts w:ascii="Garamond" w:hAnsi="Garamond"/>
          <w:spacing w:val="55"/>
          <w:sz w:val="24"/>
          <w:szCs w:val="24"/>
        </w:rPr>
        <w:t xml:space="preserve"> </w:t>
      </w:r>
      <w:r>
        <w:rPr>
          <w:rFonts w:ascii="Garamond" w:hAnsi="Garamond"/>
          <w:sz w:val="24"/>
          <w:szCs w:val="24"/>
        </w:rPr>
        <w:t>de</w:t>
      </w:r>
      <w:r>
        <w:rPr>
          <w:rFonts w:ascii="Garamond" w:hAnsi="Garamond"/>
          <w:spacing w:val="56"/>
          <w:sz w:val="24"/>
          <w:szCs w:val="24"/>
        </w:rPr>
        <w:t xml:space="preserve"> </w:t>
      </w:r>
      <w:r>
        <w:rPr>
          <w:rFonts w:ascii="Garamond" w:hAnsi="Garamond"/>
          <w:sz w:val="24"/>
          <w:szCs w:val="24"/>
        </w:rPr>
        <w:t>la</w:t>
      </w:r>
      <w:r>
        <w:rPr>
          <w:rFonts w:ascii="Garamond" w:hAnsi="Garamond"/>
          <w:spacing w:val="56"/>
          <w:sz w:val="24"/>
          <w:szCs w:val="24"/>
        </w:rPr>
        <w:t xml:space="preserve"> </w:t>
      </w:r>
      <w:r>
        <w:rPr>
          <w:rFonts w:ascii="Garamond" w:hAnsi="Garamond"/>
          <w:sz w:val="24"/>
          <w:szCs w:val="24"/>
        </w:rPr>
        <w:t>Société)</w:t>
      </w:r>
      <w:r>
        <w:rPr>
          <w:rFonts w:ascii="Garamond" w:hAnsi="Garamond"/>
          <w:spacing w:val="56"/>
          <w:sz w:val="24"/>
          <w:szCs w:val="24"/>
        </w:rPr>
        <w:t xml:space="preserve"> </w:t>
      </w:r>
      <w:r>
        <w:rPr>
          <w:rFonts w:ascii="Garamond" w:hAnsi="Garamond"/>
          <w:sz w:val="24"/>
          <w:szCs w:val="24"/>
        </w:rPr>
        <w:t>à……………….…</w:t>
      </w:r>
      <w:r>
        <w:rPr>
          <w:rFonts w:ascii="Garamond" w:hAnsi="Garamond"/>
          <w:spacing w:val="56"/>
          <w:sz w:val="24"/>
          <w:szCs w:val="24"/>
        </w:rPr>
        <w:t xml:space="preserve"> </w:t>
      </w:r>
      <w:r>
        <w:rPr>
          <w:rFonts w:ascii="Garamond" w:hAnsi="Garamond"/>
          <w:sz w:val="24"/>
          <w:szCs w:val="24"/>
        </w:rPr>
        <w:t>(Localité),</w:t>
      </w:r>
      <w:r>
        <w:rPr>
          <w:rFonts w:ascii="Garamond" w:hAnsi="Garamond"/>
          <w:spacing w:val="55"/>
          <w:sz w:val="24"/>
          <w:szCs w:val="24"/>
        </w:rPr>
        <w:t xml:space="preserve"> </w:t>
      </w:r>
      <w:r>
        <w:rPr>
          <w:rFonts w:ascii="Garamond" w:hAnsi="Garamond"/>
          <w:sz w:val="24"/>
          <w:szCs w:val="24"/>
        </w:rPr>
        <w:t>Sous</w:t>
      </w:r>
      <w:r>
        <w:rPr>
          <w:rFonts w:ascii="Garamond" w:hAnsi="Garamond"/>
          <w:spacing w:val="56"/>
          <w:sz w:val="24"/>
          <w:szCs w:val="24"/>
        </w:rPr>
        <w:t xml:space="preserve"> </w:t>
      </w:r>
      <w:r>
        <w:rPr>
          <w:rFonts w:ascii="Garamond" w:hAnsi="Garamond"/>
          <w:sz w:val="24"/>
          <w:szCs w:val="24"/>
        </w:rPr>
        <w:t>le</w:t>
      </w:r>
      <w:r>
        <w:rPr>
          <w:rFonts w:ascii="Garamond" w:hAnsi="Garamond"/>
          <w:spacing w:val="1"/>
          <w:sz w:val="24"/>
          <w:szCs w:val="24"/>
        </w:rPr>
        <w:t xml:space="preserve"> </w:t>
      </w:r>
      <w:r>
        <w:rPr>
          <w:rFonts w:ascii="Garamond" w:hAnsi="Garamond"/>
          <w:sz w:val="24"/>
          <w:szCs w:val="24"/>
        </w:rPr>
        <w:t>numéro………………………..</w:t>
      </w:r>
      <w:r>
        <w:rPr>
          <w:rFonts w:ascii="Garamond" w:hAnsi="Garamond"/>
          <w:sz w:val="24"/>
          <w:szCs w:val="24"/>
        </w:rPr>
        <w:tab/>
        <w:t>RIB</w:t>
      </w:r>
    </w:p>
    <w:p w:rsidR="003B5EBC" w:rsidRDefault="003B5EBC">
      <w:pPr>
        <w:pStyle w:val="Corpsdetexte"/>
        <w:rPr>
          <w:rFonts w:ascii="Garamond" w:hAnsi="Garamond"/>
          <w:sz w:val="24"/>
          <w:szCs w:val="24"/>
        </w:rPr>
      </w:pPr>
    </w:p>
    <w:p w:rsidR="003B5EBC" w:rsidRDefault="003B5EBC">
      <w:pPr>
        <w:pStyle w:val="Corpsdetexte"/>
        <w:rPr>
          <w:rFonts w:ascii="Garamond" w:hAnsi="Garamond"/>
          <w:sz w:val="24"/>
          <w:szCs w:val="24"/>
        </w:rPr>
      </w:pPr>
    </w:p>
    <w:p w:rsidR="003B5EBC" w:rsidRDefault="00A1518B">
      <w:pPr>
        <w:ind w:left="5409"/>
        <w:rPr>
          <w:rFonts w:ascii="Garamond" w:hAnsi="Garamond"/>
          <w:sz w:val="24"/>
          <w:szCs w:val="24"/>
        </w:rPr>
      </w:pPr>
      <w:r>
        <w:rPr>
          <w:rFonts w:ascii="Garamond" w:hAnsi="Garamond"/>
          <w:sz w:val="24"/>
          <w:szCs w:val="24"/>
        </w:rPr>
        <w:t>Fait</w:t>
      </w:r>
      <w:r>
        <w:rPr>
          <w:rFonts w:ascii="Garamond" w:hAnsi="Garamond"/>
          <w:spacing w:val="-3"/>
          <w:sz w:val="24"/>
          <w:szCs w:val="24"/>
        </w:rPr>
        <w:t xml:space="preserve"> </w:t>
      </w:r>
      <w:r>
        <w:rPr>
          <w:rFonts w:ascii="Garamond" w:hAnsi="Garamond"/>
          <w:sz w:val="24"/>
          <w:szCs w:val="24"/>
        </w:rPr>
        <w:t>à…………………le……………….</w:t>
      </w:r>
    </w:p>
    <w:p w:rsidR="003B5EBC" w:rsidRDefault="003B5EBC">
      <w:pPr>
        <w:pStyle w:val="Corpsdetexte"/>
        <w:rPr>
          <w:rFonts w:ascii="Garamond" w:hAnsi="Garamond"/>
          <w:sz w:val="24"/>
          <w:szCs w:val="24"/>
        </w:rPr>
      </w:pPr>
    </w:p>
    <w:p w:rsidR="003B5EBC" w:rsidRDefault="003B5EBC">
      <w:pPr>
        <w:pStyle w:val="Corpsdetexte"/>
        <w:spacing w:before="11"/>
        <w:rPr>
          <w:rFonts w:ascii="Garamond" w:hAnsi="Garamond"/>
          <w:sz w:val="24"/>
          <w:szCs w:val="24"/>
        </w:rPr>
      </w:pPr>
    </w:p>
    <w:p w:rsidR="003B5EBC" w:rsidRDefault="00A1518B">
      <w:pPr>
        <w:ind w:left="2320" w:right="2259"/>
        <w:jc w:val="center"/>
        <w:rPr>
          <w:rFonts w:ascii="Garamond" w:hAnsi="Garamond"/>
          <w:sz w:val="24"/>
          <w:szCs w:val="24"/>
        </w:rPr>
      </w:pPr>
      <w:r>
        <w:rPr>
          <w:rFonts w:ascii="Garamond" w:hAnsi="Garamond"/>
          <w:sz w:val="24"/>
          <w:szCs w:val="24"/>
        </w:rPr>
        <w:t>Signature du concurrent</w:t>
      </w:r>
      <w:r>
        <w:rPr>
          <w:rFonts w:ascii="Garamond" w:hAnsi="Garamond"/>
          <w:spacing w:val="-2"/>
          <w:sz w:val="24"/>
          <w:szCs w:val="24"/>
        </w:rPr>
        <w:t xml:space="preserve"> </w:t>
      </w:r>
      <w:r>
        <w:rPr>
          <w:rFonts w:ascii="Garamond" w:hAnsi="Garamond"/>
          <w:sz w:val="24"/>
          <w:szCs w:val="24"/>
        </w:rPr>
        <w:t>et</w:t>
      </w:r>
      <w:r>
        <w:rPr>
          <w:rFonts w:ascii="Garamond" w:hAnsi="Garamond"/>
          <w:spacing w:val="-2"/>
          <w:sz w:val="24"/>
          <w:szCs w:val="24"/>
        </w:rPr>
        <w:t xml:space="preserve"> </w:t>
      </w:r>
      <w:r>
        <w:rPr>
          <w:rFonts w:ascii="Garamond" w:hAnsi="Garamond"/>
          <w:sz w:val="24"/>
          <w:szCs w:val="24"/>
        </w:rPr>
        <w:t>Cachet</w:t>
      </w:r>
    </w:p>
    <w:p w:rsidR="003B5EBC" w:rsidRDefault="003B5EBC">
      <w:pPr>
        <w:rPr>
          <w:rFonts w:ascii="Garamond" w:hAnsi="Garamond" w:cstheme="majorHAnsi"/>
          <w:sz w:val="24"/>
          <w:szCs w:val="24"/>
        </w:rPr>
      </w:pPr>
    </w:p>
    <w:p w:rsidR="003B5EBC" w:rsidRDefault="003B5EBC">
      <w:pPr>
        <w:rPr>
          <w:rFonts w:ascii="Garamond" w:hAnsi="Garamond" w:cstheme="majorHAnsi"/>
          <w:sz w:val="24"/>
          <w:szCs w:val="24"/>
          <w:lang w:val="fr-FR"/>
        </w:rPr>
      </w:pPr>
    </w:p>
    <w:p w:rsidR="003B5EBC" w:rsidRDefault="003B5EBC">
      <w:pPr>
        <w:rPr>
          <w:rFonts w:ascii="Calisto MT" w:hAnsi="Calisto MT" w:cstheme="majorHAnsi"/>
          <w:sz w:val="24"/>
          <w:szCs w:val="24"/>
          <w:lang w:val="fr-FR"/>
        </w:rPr>
      </w:pPr>
    </w:p>
    <w:p w:rsidR="003B5EBC" w:rsidRDefault="003B5EBC">
      <w:pPr>
        <w:rPr>
          <w:rFonts w:ascii="Calisto MT" w:hAnsi="Calisto MT" w:cstheme="majorHAnsi"/>
          <w:sz w:val="24"/>
          <w:szCs w:val="24"/>
          <w:lang w:val="fr-FR"/>
        </w:rPr>
      </w:pPr>
    </w:p>
    <w:p w:rsidR="003B5EBC" w:rsidRDefault="003B5EBC">
      <w:pPr>
        <w:rPr>
          <w:rFonts w:ascii="Calisto MT" w:hAnsi="Calisto MT" w:cstheme="majorHAnsi"/>
          <w:sz w:val="24"/>
          <w:szCs w:val="24"/>
          <w:lang w:val="fr-FR"/>
        </w:rPr>
      </w:pPr>
    </w:p>
    <w:p w:rsidR="003B5EBC" w:rsidRDefault="003B5EBC">
      <w:pPr>
        <w:rPr>
          <w:rFonts w:ascii="Calisto MT" w:hAnsi="Calisto MT" w:cstheme="majorHAnsi"/>
          <w:sz w:val="24"/>
          <w:szCs w:val="24"/>
          <w:lang w:val="fr-FR"/>
        </w:rPr>
      </w:pPr>
    </w:p>
    <w:p w:rsidR="003B5EBC" w:rsidRDefault="003B5EBC">
      <w:pPr>
        <w:rPr>
          <w:rFonts w:ascii="Calisto MT" w:hAnsi="Calisto MT" w:cstheme="majorHAnsi"/>
          <w:sz w:val="24"/>
          <w:szCs w:val="24"/>
          <w:lang w:val="fr-FR"/>
        </w:rPr>
      </w:pPr>
    </w:p>
    <w:p w:rsidR="003B5EBC" w:rsidRDefault="003B5EBC">
      <w:pPr>
        <w:rPr>
          <w:rFonts w:ascii="Calisto MT" w:hAnsi="Calisto MT" w:cstheme="majorHAnsi"/>
          <w:sz w:val="24"/>
          <w:szCs w:val="24"/>
          <w:lang w:val="fr-FR"/>
        </w:rPr>
      </w:pPr>
    </w:p>
    <w:p w:rsidR="003B5EBC" w:rsidRDefault="003B5EBC">
      <w:pPr>
        <w:jc w:val="right"/>
        <w:rPr>
          <w:rFonts w:ascii="Calisto MT" w:hAnsi="Calisto MT" w:cstheme="majorHAnsi"/>
          <w:sz w:val="24"/>
          <w:szCs w:val="24"/>
          <w:lang w:val="fr-FR"/>
        </w:rPr>
      </w:pPr>
    </w:p>
    <w:sectPr w:rsidR="003B5EBC">
      <w:headerReference w:type="default" r:id="rId26"/>
      <w:footerReference w:type="default" r:id="rId27"/>
      <w:pgSz w:w="12240" w:h="15840"/>
      <w:pgMar w:top="1417" w:right="900" w:bottom="993" w:left="1276"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EF9" w:rsidRDefault="009E7EF9">
      <w:pPr>
        <w:spacing w:line="240" w:lineRule="auto"/>
      </w:pPr>
      <w:r>
        <w:separator/>
      </w:r>
    </w:p>
  </w:endnote>
  <w:endnote w:type="continuationSeparator" w:id="0">
    <w:p w:rsidR="009E7EF9" w:rsidRDefault="009E7E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default"/>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00"/>
    <w:family w:val="auto"/>
    <w:pitch w:val="default"/>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4470514"/>
    </w:sdtPr>
    <w:sdtEndPr/>
    <w:sdtContent>
      <w:p w:rsidR="004E5735" w:rsidRDefault="004E5735">
        <w:pPr>
          <w:pStyle w:val="Pieddepage"/>
          <w:jc w:val="right"/>
        </w:pPr>
        <w:r>
          <w:fldChar w:fldCharType="begin"/>
        </w:r>
        <w:r>
          <w:instrText>PAGE   \* MERGEFORMAT</w:instrText>
        </w:r>
        <w:r>
          <w:fldChar w:fldCharType="separate"/>
        </w:r>
        <w:r w:rsidR="00E519FD" w:rsidRPr="00E519FD">
          <w:rPr>
            <w:noProof/>
            <w:lang w:val="fr-FR"/>
          </w:rPr>
          <w:t>1</w:t>
        </w:r>
        <w:r>
          <w:fldChar w:fldCharType="end"/>
        </w:r>
        <w:r>
          <w:t> /3</w:t>
        </w:r>
        <w:r>
          <w:rPr>
            <w:lang w:val="fr-FR"/>
          </w:rPr>
          <w:t>5</w:t>
        </w:r>
      </w:p>
    </w:sdtContent>
  </w:sdt>
  <w:p w:rsidR="004E5735" w:rsidRDefault="004E5735">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EF9" w:rsidRDefault="009E7EF9">
      <w:pPr>
        <w:spacing w:after="0"/>
      </w:pPr>
      <w:r>
        <w:separator/>
      </w:r>
    </w:p>
  </w:footnote>
  <w:footnote w:type="continuationSeparator" w:id="0">
    <w:p w:rsidR="009E7EF9" w:rsidRDefault="009E7EF9">
      <w:pPr>
        <w:spacing w:after="0"/>
      </w:pPr>
      <w:r>
        <w:continuationSeparator/>
      </w:r>
    </w:p>
  </w:footnote>
  <w:footnote w:id="1">
    <w:p w:rsidR="004E5735" w:rsidRDefault="004E5735">
      <w:pPr>
        <w:pStyle w:val="Notedebasdepage"/>
      </w:pPr>
      <w:r>
        <w:rPr>
          <w:rStyle w:val="Appelnotedebasdep"/>
        </w:rPr>
        <w:footnoteRef/>
      </w:r>
      <w:r>
        <w:t xml:space="preserve"> L’offre financière du prestataire devra inclure la prise en charge du déplacement international de deux personnes dans le cadre de la mission d’échange technique en présentiel au Cameroun.</w:t>
      </w:r>
    </w:p>
  </w:footnote>
  <w:footnote w:id="2">
    <w:p w:rsidR="004E5735" w:rsidRDefault="004E5735">
      <w:pPr>
        <w:pStyle w:val="Notedebasdepage"/>
        <w:rPr>
          <w:lang w:val="fr-FR"/>
        </w:rPr>
      </w:pPr>
      <w:r>
        <w:rPr>
          <w:rStyle w:val="Appelnotedebasdep"/>
        </w:rPr>
        <w:footnoteRef/>
      </w:r>
      <w:r>
        <w:t xml:space="preserve"> </w:t>
      </w:r>
      <w:r>
        <w:rPr>
          <w:i/>
          <w:iCs/>
        </w:rPr>
        <w:t xml:space="preserve">On désigne par </w:t>
      </w:r>
      <w:r>
        <w:rPr>
          <w:b/>
          <w:bCs/>
          <w:i/>
          <w:iCs/>
        </w:rPr>
        <w:t>maquette fonctionnelle</w:t>
      </w:r>
      <w:r>
        <w:rPr>
          <w:i/>
          <w:iCs/>
        </w:rPr>
        <w:t xml:space="preserve"> une représentation visuelle simplifiée de la future plateforme, illustrant les principales interfaces, les parcours utilisateurs et les fonctionnalités attendues avant son développement final.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735" w:rsidRDefault="004E5735">
    <w:pPr>
      <w:pStyle w:val="En-tte"/>
      <w:jc w:val="right"/>
    </w:pPr>
    <w:r>
      <w:rPr>
        <w:noProof/>
        <w:lang w:val="fr-FR" w:eastAsia="fr-FR"/>
      </w:rPr>
      <w:drawing>
        <wp:anchor distT="0" distB="0" distL="114300" distR="114300" simplePos="0" relativeHeight="251659264" behindDoc="0" locked="0" layoutInCell="1" allowOverlap="1">
          <wp:simplePos x="0" y="0"/>
          <wp:positionH relativeFrom="margin">
            <wp:posOffset>-318770</wp:posOffset>
          </wp:positionH>
          <wp:positionV relativeFrom="paragraph">
            <wp:posOffset>112395</wp:posOffset>
          </wp:positionV>
          <wp:extent cx="3921760" cy="714375"/>
          <wp:effectExtent l="0" t="0" r="0" b="0"/>
          <wp:wrapNone/>
          <wp:docPr id="24" name="Picture 2" descr="MT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 descr="MTED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3921926" cy="714375"/>
                  </a:xfrm>
                  <a:prstGeom prst="rect">
                    <a:avLst/>
                  </a:prstGeom>
                  <a:noFill/>
                </pic:spPr>
              </pic:pic>
            </a:graphicData>
          </a:graphic>
        </wp:anchor>
      </w:drawing>
    </w:r>
    <w:r>
      <w:rPr>
        <w:rFonts w:ascii="Arial" w:hAnsi="Arial" w:cs="Arial"/>
        <w:b/>
        <w:bCs/>
        <w:sz w:val="20"/>
        <w:szCs w:val="20"/>
      </w:rPr>
      <w:t xml:space="preserve">                  </w:t>
    </w:r>
    <w:r>
      <w:rPr>
        <w:rFonts w:ascii="Arial" w:hAnsi="Arial" w:cs="Arial"/>
        <w:b/>
        <w:bCs/>
        <w:sz w:val="20"/>
        <w:szCs w:val="20"/>
      </w:rPr>
      <w:object w:dxaOrig="10049" w:dyaOrig="4408" w14:anchorId="01AE0D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41pt">
          <v:imagedata r:id="rId2" o:title=""/>
        </v:shape>
        <o:OLEObject Type="Embed" ProgID="Acrobat.Document.DC" ShapeID="_x0000_i1025" DrawAspect="Content" ObjectID="_1846242473" r:id="rId3"/>
      </w:object>
    </w:r>
    <w:r>
      <w:rPr>
        <w:rFonts w:ascii="Arial" w:hAnsi="Arial" w:cs="Arial"/>
        <w:b/>
        <w:bCs/>
        <w:sz w:val="20"/>
        <w:szCs w:val="20"/>
      </w:rPr>
      <w:t xml:space="preserve">          </w:t>
    </w:r>
    <w:r>
      <w:rPr>
        <w:rFonts w:ascii="Arial" w:hAnsi="Arial" w:cs="Arial"/>
        <w:b/>
        <w:bCs/>
        <w:noProof/>
        <w:sz w:val="20"/>
        <w:szCs w:val="20"/>
        <w:lang w:val="fr-FR" w:eastAsia="fr-FR"/>
      </w:rPr>
      <w:drawing>
        <wp:inline distT="0" distB="0" distL="0" distR="0">
          <wp:extent cx="439420" cy="871220"/>
          <wp:effectExtent l="0" t="0" r="0" b="508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451474" cy="895559"/>
                  </a:xfrm>
                  <a:prstGeom prst="rect">
                    <a:avLst/>
                  </a:prstGeom>
                </pic:spPr>
              </pic:pic>
            </a:graphicData>
          </a:graphic>
        </wp:inline>
      </w:drawing>
    </w:r>
    <w:r>
      <w:rPr>
        <w:rFonts w:ascii="Arial" w:hAnsi="Arial" w:cs="Arial"/>
        <w:b/>
        <w:bCs/>
        <w:sz w:val="20"/>
        <w:szCs w:val="20"/>
      </w:rPr>
      <w:t xml:space="preserve">                     </w:t>
    </w:r>
    <w:bookmarkStart w:id="3" w:name="_Hlk120175242"/>
    <w:bookmarkEnd w:id="3"/>
  </w:p>
  <w:p w:rsidR="004E5735" w:rsidRDefault="004E573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4DE1"/>
    <w:multiLevelType w:val="multilevel"/>
    <w:tmpl w:val="03D64DE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AA7AD6"/>
    <w:multiLevelType w:val="multilevel"/>
    <w:tmpl w:val="05AA7AD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F402BC"/>
    <w:multiLevelType w:val="multilevel"/>
    <w:tmpl w:val="09F402BC"/>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A614D91"/>
    <w:multiLevelType w:val="multilevel"/>
    <w:tmpl w:val="0A614D9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D856F4"/>
    <w:multiLevelType w:val="multilevel"/>
    <w:tmpl w:val="10D856F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FB6A27"/>
    <w:multiLevelType w:val="multilevel"/>
    <w:tmpl w:val="12FB6A27"/>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7CF21C5"/>
    <w:multiLevelType w:val="multilevel"/>
    <w:tmpl w:val="17CF21C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632D8A"/>
    <w:multiLevelType w:val="multilevel"/>
    <w:tmpl w:val="1C632D8A"/>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DE6DB2"/>
    <w:multiLevelType w:val="multilevel"/>
    <w:tmpl w:val="1EDE6DB2"/>
    <w:lvl w:ilvl="0">
      <w:start w:val="1"/>
      <w:numFmt w:val="bullet"/>
      <w:lvlText w:val=""/>
      <w:lvlJc w:val="left"/>
      <w:pPr>
        <w:tabs>
          <w:tab w:val="left" w:pos="720"/>
        </w:tabs>
        <w:ind w:left="720" w:hanging="360"/>
      </w:pPr>
      <w:rPr>
        <w:rFonts w:ascii="Wingdings" w:hAnsi="Wingdings" w:hint="default"/>
        <w:sz w:val="24"/>
        <w:szCs w:val="24"/>
      </w:rPr>
    </w:lvl>
    <w:lvl w:ilvl="1">
      <w:numFmt w:val="bullet"/>
      <w:lvlText w:val=""/>
      <w:lvlJc w:val="left"/>
      <w:pPr>
        <w:ind w:left="1440" w:hanging="360"/>
      </w:pPr>
      <w:rPr>
        <w:rFonts w:ascii="Garamond" w:eastAsiaTheme="minorHAnsi" w:hAnsi="Garamond" w:cstheme="minorBid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1EF013B3"/>
    <w:multiLevelType w:val="multilevel"/>
    <w:tmpl w:val="1EF013B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1F02A5"/>
    <w:multiLevelType w:val="multilevel"/>
    <w:tmpl w:val="201F02A5"/>
    <w:lvl w:ilvl="0">
      <w:start w:val="1"/>
      <w:numFmt w:val="bullet"/>
      <w:lvlText w:val=""/>
      <w:lvlJc w:val="left"/>
      <w:pPr>
        <w:ind w:left="72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1C36299"/>
    <w:multiLevelType w:val="multilevel"/>
    <w:tmpl w:val="21C36299"/>
    <w:lvl w:ilvl="0">
      <w:start w:val="1"/>
      <w:numFmt w:val="upperLetter"/>
      <w:lvlText w:val="%1)"/>
      <w:lvlJc w:val="left"/>
      <w:pPr>
        <w:ind w:left="457" w:hanging="288"/>
      </w:pPr>
      <w:rPr>
        <w:rFonts w:ascii="Times New Roman" w:eastAsia="Times New Roman" w:hAnsi="Times New Roman" w:cs="Times New Roman" w:hint="default"/>
        <w:b/>
        <w:bCs/>
        <w:spacing w:val="-2"/>
        <w:w w:val="100"/>
        <w:sz w:val="22"/>
        <w:szCs w:val="22"/>
        <w:lang w:val="fr-FR" w:eastAsia="en-US" w:bidi="ar-SA"/>
      </w:rPr>
    </w:lvl>
    <w:lvl w:ilvl="1">
      <w:start w:val="1"/>
      <w:numFmt w:val="decimal"/>
      <w:lvlText w:val="%2)"/>
      <w:lvlJc w:val="left"/>
      <w:pPr>
        <w:ind w:left="954" w:hanging="360"/>
      </w:pPr>
      <w:rPr>
        <w:rFonts w:ascii="Times New Roman" w:eastAsia="Times New Roman" w:hAnsi="Times New Roman" w:cs="Times New Roman" w:hint="default"/>
        <w:w w:val="99"/>
        <w:sz w:val="24"/>
        <w:szCs w:val="24"/>
        <w:lang w:val="fr-FR" w:eastAsia="en-US" w:bidi="ar-SA"/>
      </w:rPr>
    </w:lvl>
    <w:lvl w:ilvl="2">
      <w:numFmt w:val="bullet"/>
      <w:lvlText w:val="•"/>
      <w:lvlJc w:val="left"/>
      <w:pPr>
        <w:ind w:left="2049" w:hanging="360"/>
      </w:pPr>
      <w:rPr>
        <w:rFonts w:hint="default"/>
        <w:lang w:val="fr-FR" w:eastAsia="en-US" w:bidi="ar-SA"/>
      </w:rPr>
    </w:lvl>
    <w:lvl w:ilvl="3">
      <w:numFmt w:val="bullet"/>
      <w:lvlText w:val="•"/>
      <w:lvlJc w:val="left"/>
      <w:pPr>
        <w:ind w:left="3139" w:hanging="360"/>
      </w:pPr>
      <w:rPr>
        <w:rFonts w:hint="default"/>
        <w:lang w:val="fr-FR" w:eastAsia="en-US" w:bidi="ar-SA"/>
      </w:rPr>
    </w:lvl>
    <w:lvl w:ilvl="4">
      <w:numFmt w:val="bullet"/>
      <w:lvlText w:val="•"/>
      <w:lvlJc w:val="left"/>
      <w:pPr>
        <w:ind w:left="4228" w:hanging="360"/>
      </w:pPr>
      <w:rPr>
        <w:rFonts w:hint="default"/>
        <w:lang w:val="fr-FR" w:eastAsia="en-US" w:bidi="ar-SA"/>
      </w:rPr>
    </w:lvl>
    <w:lvl w:ilvl="5">
      <w:numFmt w:val="bullet"/>
      <w:lvlText w:val="•"/>
      <w:lvlJc w:val="left"/>
      <w:pPr>
        <w:ind w:left="5318" w:hanging="360"/>
      </w:pPr>
      <w:rPr>
        <w:rFonts w:hint="default"/>
        <w:lang w:val="fr-FR" w:eastAsia="en-US" w:bidi="ar-SA"/>
      </w:rPr>
    </w:lvl>
    <w:lvl w:ilvl="6">
      <w:numFmt w:val="bullet"/>
      <w:lvlText w:val="•"/>
      <w:lvlJc w:val="left"/>
      <w:pPr>
        <w:ind w:left="6408" w:hanging="360"/>
      </w:pPr>
      <w:rPr>
        <w:rFonts w:hint="default"/>
        <w:lang w:val="fr-FR" w:eastAsia="en-US" w:bidi="ar-SA"/>
      </w:rPr>
    </w:lvl>
    <w:lvl w:ilvl="7">
      <w:numFmt w:val="bullet"/>
      <w:lvlText w:val="•"/>
      <w:lvlJc w:val="left"/>
      <w:pPr>
        <w:ind w:left="7497" w:hanging="360"/>
      </w:pPr>
      <w:rPr>
        <w:rFonts w:hint="default"/>
        <w:lang w:val="fr-FR" w:eastAsia="en-US" w:bidi="ar-SA"/>
      </w:rPr>
    </w:lvl>
    <w:lvl w:ilvl="8">
      <w:numFmt w:val="bullet"/>
      <w:lvlText w:val="•"/>
      <w:lvlJc w:val="left"/>
      <w:pPr>
        <w:ind w:left="8587" w:hanging="360"/>
      </w:pPr>
      <w:rPr>
        <w:rFonts w:hint="default"/>
        <w:lang w:val="fr-FR" w:eastAsia="en-US" w:bidi="ar-SA"/>
      </w:rPr>
    </w:lvl>
  </w:abstractNum>
  <w:abstractNum w:abstractNumId="12" w15:restartNumberingAfterBreak="0">
    <w:nsid w:val="26C33103"/>
    <w:multiLevelType w:val="multilevel"/>
    <w:tmpl w:val="26C3310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CA5017"/>
    <w:multiLevelType w:val="multilevel"/>
    <w:tmpl w:val="26CA50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8865055"/>
    <w:multiLevelType w:val="multilevel"/>
    <w:tmpl w:val="28865055"/>
    <w:lvl w:ilvl="0">
      <w:start w:val="1"/>
      <w:numFmt w:val="bullet"/>
      <w:lvlText w:val=""/>
      <w:lvlJc w:val="left"/>
      <w:pPr>
        <w:ind w:left="72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CD7770C"/>
    <w:multiLevelType w:val="multilevel"/>
    <w:tmpl w:val="2CD777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2CEE5C64"/>
    <w:multiLevelType w:val="multilevel"/>
    <w:tmpl w:val="2CEE5C64"/>
    <w:lvl w:ilvl="0">
      <w:start w:val="1"/>
      <w:numFmt w:val="bullet"/>
      <w:lvlText w:val=""/>
      <w:lvlJc w:val="left"/>
      <w:pPr>
        <w:tabs>
          <w:tab w:val="left" w:pos="720"/>
        </w:tabs>
        <w:ind w:left="720" w:hanging="360"/>
      </w:pPr>
      <w:rPr>
        <w:rFonts w:ascii="Wingdings" w:hAnsi="Wingding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2D072463"/>
    <w:multiLevelType w:val="multilevel"/>
    <w:tmpl w:val="2D072463"/>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E21685C"/>
    <w:multiLevelType w:val="multilevel"/>
    <w:tmpl w:val="2E21685C"/>
    <w:lvl w:ilvl="0">
      <w:start w:val="1"/>
      <w:numFmt w:val="bullet"/>
      <w:lvlText w:val=""/>
      <w:lvlJc w:val="left"/>
      <w:pPr>
        <w:ind w:left="72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F434B06"/>
    <w:multiLevelType w:val="multilevel"/>
    <w:tmpl w:val="2F434B0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BF15368"/>
    <w:multiLevelType w:val="multilevel"/>
    <w:tmpl w:val="3BF15368"/>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3C52634A"/>
    <w:multiLevelType w:val="multilevel"/>
    <w:tmpl w:val="3C52634A"/>
    <w:lvl w:ilvl="0">
      <w:start w:val="2"/>
      <w:numFmt w:val="upperRoman"/>
      <w:lvlText w:val="%1."/>
      <w:lvlJc w:val="righ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C8041F3"/>
    <w:multiLevelType w:val="multilevel"/>
    <w:tmpl w:val="3C8041F3"/>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3CC76B67"/>
    <w:multiLevelType w:val="multilevel"/>
    <w:tmpl w:val="3CC76B67"/>
    <w:lvl w:ilvl="0">
      <w:start w:val="1"/>
      <w:numFmt w:val="bullet"/>
      <w:lvlText w:val=""/>
      <w:lvlJc w:val="left"/>
      <w:pPr>
        <w:ind w:left="1454" w:hanging="293"/>
      </w:pPr>
      <w:rPr>
        <w:rFonts w:ascii="Wingdings" w:hAnsi="Wingdings" w:hint="default"/>
        <w:b/>
        <w:bCs/>
        <w:color w:val="1F4E79" w:themeColor="accent1" w:themeShade="80"/>
        <w:spacing w:val="-1"/>
        <w:w w:val="99"/>
        <w:sz w:val="24"/>
        <w:szCs w:val="24"/>
        <w:lang w:val="fr-FR" w:eastAsia="en-US" w:bidi="ar-SA"/>
      </w:rPr>
    </w:lvl>
    <w:lvl w:ilvl="1">
      <w:numFmt w:val="bullet"/>
      <w:lvlText w:val="•"/>
      <w:lvlJc w:val="left"/>
      <w:pPr>
        <w:ind w:left="2390" w:hanging="293"/>
      </w:pPr>
      <w:rPr>
        <w:rFonts w:hint="default"/>
        <w:lang w:val="fr-FR" w:eastAsia="en-US" w:bidi="ar-SA"/>
      </w:rPr>
    </w:lvl>
    <w:lvl w:ilvl="2">
      <w:numFmt w:val="bullet"/>
      <w:lvlText w:val="•"/>
      <w:lvlJc w:val="left"/>
      <w:pPr>
        <w:ind w:left="3321" w:hanging="293"/>
      </w:pPr>
      <w:rPr>
        <w:rFonts w:hint="default"/>
        <w:lang w:val="fr-FR" w:eastAsia="en-US" w:bidi="ar-SA"/>
      </w:rPr>
    </w:lvl>
    <w:lvl w:ilvl="3">
      <w:numFmt w:val="bullet"/>
      <w:lvlText w:val="•"/>
      <w:lvlJc w:val="left"/>
      <w:pPr>
        <w:ind w:left="4251" w:hanging="293"/>
      </w:pPr>
      <w:rPr>
        <w:rFonts w:hint="default"/>
        <w:lang w:val="fr-FR" w:eastAsia="en-US" w:bidi="ar-SA"/>
      </w:rPr>
    </w:lvl>
    <w:lvl w:ilvl="4">
      <w:numFmt w:val="bullet"/>
      <w:lvlText w:val="•"/>
      <w:lvlJc w:val="left"/>
      <w:pPr>
        <w:ind w:left="5182" w:hanging="293"/>
      </w:pPr>
      <w:rPr>
        <w:rFonts w:hint="default"/>
        <w:lang w:val="fr-FR" w:eastAsia="en-US" w:bidi="ar-SA"/>
      </w:rPr>
    </w:lvl>
    <w:lvl w:ilvl="5">
      <w:numFmt w:val="bullet"/>
      <w:lvlText w:val="•"/>
      <w:lvlJc w:val="left"/>
      <w:pPr>
        <w:ind w:left="6113" w:hanging="293"/>
      </w:pPr>
      <w:rPr>
        <w:rFonts w:hint="default"/>
        <w:lang w:val="fr-FR" w:eastAsia="en-US" w:bidi="ar-SA"/>
      </w:rPr>
    </w:lvl>
    <w:lvl w:ilvl="6">
      <w:numFmt w:val="bullet"/>
      <w:lvlText w:val="•"/>
      <w:lvlJc w:val="left"/>
      <w:pPr>
        <w:ind w:left="7043" w:hanging="293"/>
      </w:pPr>
      <w:rPr>
        <w:rFonts w:hint="default"/>
        <w:lang w:val="fr-FR" w:eastAsia="en-US" w:bidi="ar-SA"/>
      </w:rPr>
    </w:lvl>
    <w:lvl w:ilvl="7">
      <w:numFmt w:val="bullet"/>
      <w:lvlText w:val="•"/>
      <w:lvlJc w:val="left"/>
      <w:pPr>
        <w:ind w:left="7974" w:hanging="293"/>
      </w:pPr>
      <w:rPr>
        <w:rFonts w:hint="default"/>
        <w:lang w:val="fr-FR" w:eastAsia="en-US" w:bidi="ar-SA"/>
      </w:rPr>
    </w:lvl>
    <w:lvl w:ilvl="8">
      <w:numFmt w:val="bullet"/>
      <w:lvlText w:val="•"/>
      <w:lvlJc w:val="left"/>
      <w:pPr>
        <w:ind w:left="8905" w:hanging="293"/>
      </w:pPr>
      <w:rPr>
        <w:rFonts w:hint="default"/>
        <w:lang w:val="fr-FR" w:eastAsia="en-US" w:bidi="ar-SA"/>
      </w:rPr>
    </w:lvl>
  </w:abstractNum>
  <w:abstractNum w:abstractNumId="24" w15:restartNumberingAfterBreak="0">
    <w:nsid w:val="3CF012A0"/>
    <w:multiLevelType w:val="multilevel"/>
    <w:tmpl w:val="3CF012A0"/>
    <w:lvl w:ilvl="0">
      <w:start w:val="1"/>
      <w:numFmt w:val="bullet"/>
      <w:lvlText w:val=""/>
      <w:lvlJc w:val="left"/>
      <w:pPr>
        <w:ind w:left="72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1EF29C5"/>
    <w:multiLevelType w:val="multilevel"/>
    <w:tmpl w:val="41EF29C5"/>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476F31C0"/>
    <w:multiLevelType w:val="multilevel"/>
    <w:tmpl w:val="476F31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043704"/>
    <w:multiLevelType w:val="multilevel"/>
    <w:tmpl w:val="4A0437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A9A3D2C"/>
    <w:multiLevelType w:val="multilevel"/>
    <w:tmpl w:val="4A9A3D2C"/>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4EF12EFC"/>
    <w:multiLevelType w:val="multilevel"/>
    <w:tmpl w:val="4EF12EFC"/>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539C5600"/>
    <w:multiLevelType w:val="multilevel"/>
    <w:tmpl w:val="539C56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3F9358F"/>
    <w:multiLevelType w:val="multilevel"/>
    <w:tmpl w:val="53F9358F"/>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15:restartNumberingAfterBreak="0">
    <w:nsid w:val="565D6F5A"/>
    <w:multiLevelType w:val="multilevel"/>
    <w:tmpl w:val="565D6F5A"/>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57726F33"/>
    <w:multiLevelType w:val="multilevel"/>
    <w:tmpl w:val="57726F33"/>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5BE778CE"/>
    <w:multiLevelType w:val="multilevel"/>
    <w:tmpl w:val="5BE778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D14097D"/>
    <w:multiLevelType w:val="multilevel"/>
    <w:tmpl w:val="5D14097D"/>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3CF35D3"/>
    <w:multiLevelType w:val="multilevel"/>
    <w:tmpl w:val="63CF35D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3F45521"/>
    <w:multiLevelType w:val="multilevel"/>
    <w:tmpl w:val="63F455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516D33"/>
    <w:multiLevelType w:val="multilevel"/>
    <w:tmpl w:val="66516D33"/>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676723C7"/>
    <w:multiLevelType w:val="multilevel"/>
    <w:tmpl w:val="676723C7"/>
    <w:lvl w:ilvl="0">
      <w:start w:val="1"/>
      <w:numFmt w:val="upperLetter"/>
      <w:lvlText w:val="%1."/>
      <w:lvlJc w:val="left"/>
      <w:pPr>
        <w:ind w:left="1454" w:hanging="293"/>
      </w:pPr>
      <w:rPr>
        <w:rFonts w:hint="default"/>
        <w:b/>
        <w:bCs/>
        <w:color w:val="1F4E79" w:themeColor="accent1" w:themeShade="80"/>
        <w:spacing w:val="-1"/>
        <w:w w:val="99"/>
        <w:sz w:val="24"/>
        <w:szCs w:val="24"/>
        <w:lang w:val="fr-FR" w:eastAsia="en-US" w:bidi="ar-SA"/>
      </w:rPr>
    </w:lvl>
    <w:lvl w:ilvl="1">
      <w:numFmt w:val="bullet"/>
      <w:lvlText w:val="•"/>
      <w:lvlJc w:val="left"/>
      <w:pPr>
        <w:ind w:left="2390" w:hanging="293"/>
      </w:pPr>
      <w:rPr>
        <w:rFonts w:hint="default"/>
        <w:lang w:val="fr-FR" w:eastAsia="en-US" w:bidi="ar-SA"/>
      </w:rPr>
    </w:lvl>
    <w:lvl w:ilvl="2">
      <w:numFmt w:val="bullet"/>
      <w:lvlText w:val="•"/>
      <w:lvlJc w:val="left"/>
      <w:pPr>
        <w:ind w:left="3321" w:hanging="293"/>
      </w:pPr>
      <w:rPr>
        <w:rFonts w:hint="default"/>
        <w:lang w:val="fr-FR" w:eastAsia="en-US" w:bidi="ar-SA"/>
      </w:rPr>
    </w:lvl>
    <w:lvl w:ilvl="3">
      <w:numFmt w:val="bullet"/>
      <w:lvlText w:val="•"/>
      <w:lvlJc w:val="left"/>
      <w:pPr>
        <w:ind w:left="4251" w:hanging="293"/>
      </w:pPr>
      <w:rPr>
        <w:rFonts w:hint="default"/>
        <w:lang w:val="fr-FR" w:eastAsia="en-US" w:bidi="ar-SA"/>
      </w:rPr>
    </w:lvl>
    <w:lvl w:ilvl="4">
      <w:numFmt w:val="bullet"/>
      <w:lvlText w:val="•"/>
      <w:lvlJc w:val="left"/>
      <w:pPr>
        <w:ind w:left="5182" w:hanging="293"/>
      </w:pPr>
      <w:rPr>
        <w:rFonts w:hint="default"/>
        <w:lang w:val="fr-FR" w:eastAsia="en-US" w:bidi="ar-SA"/>
      </w:rPr>
    </w:lvl>
    <w:lvl w:ilvl="5">
      <w:numFmt w:val="bullet"/>
      <w:lvlText w:val="•"/>
      <w:lvlJc w:val="left"/>
      <w:pPr>
        <w:ind w:left="6113" w:hanging="293"/>
      </w:pPr>
      <w:rPr>
        <w:rFonts w:hint="default"/>
        <w:lang w:val="fr-FR" w:eastAsia="en-US" w:bidi="ar-SA"/>
      </w:rPr>
    </w:lvl>
    <w:lvl w:ilvl="6">
      <w:numFmt w:val="bullet"/>
      <w:lvlText w:val="•"/>
      <w:lvlJc w:val="left"/>
      <w:pPr>
        <w:ind w:left="7043" w:hanging="293"/>
      </w:pPr>
      <w:rPr>
        <w:rFonts w:hint="default"/>
        <w:lang w:val="fr-FR" w:eastAsia="en-US" w:bidi="ar-SA"/>
      </w:rPr>
    </w:lvl>
    <w:lvl w:ilvl="7">
      <w:numFmt w:val="bullet"/>
      <w:lvlText w:val="•"/>
      <w:lvlJc w:val="left"/>
      <w:pPr>
        <w:ind w:left="7974" w:hanging="293"/>
      </w:pPr>
      <w:rPr>
        <w:rFonts w:hint="default"/>
        <w:lang w:val="fr-FR" w:eastAsia="en-US" w:bidi="ar-SA"/>
      </w:rPr>
    </w:lvl>
    <w:lvl w:ilvl="8">
      <w:numFmt w:val="bullet"/>
      <w:lvlText w:val="•"/>
      <w:lvlJc w:val="left"/>
      <w:pPr>
        <w:ind w:left="8905" w:hanging="293"/>
      </w:pPr>
      <w:rPr>
        <w:rFonts w:hint="default"/>
        <w:lang w:val="fr-FR" w:eastAsia="en-US" w:bidi="ar-SA"/>
      </w:rPr>
    </w:lvl>
  </w:abstractNum>
  <w:abstractNum w:abstractNumId="40" w15:restartNumberingAfterBreak="0">
    <w:nsid w:val="68901A92"/>
    <w:multiLevelType w:val="multilevel"/>
    <w:tmpl w:val="68901A92"/>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695407A6"/>
    <w:multiLevelType w:val="multilevel"/>
    <w:tmpl w:val="695407A6"/>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15:restartNumberingAfterBreak="0">
    <w:nsid w:val="6A9D5C17"/>
    <w:multiLevelType w:val="multilevel"/>
    <w:tmpl w:val="6A9D5C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D5F2496"/>
    <w:multiLevelType w:val="multilevel"/>
    <w:tmpl w:val="6D5F2496"/>
    <w:lvl w:ilvl="0">
      <w:start w:val="1"/>
      <w:numFmt w:val="bullet"/>
      <w:lvlText w:val=""/>
      <w:lvlJc w:val="left"/>
      <w:pPr>
        <w:tabs>
          <w:tab w:val="left" w:pos="720"/>
        </w:tabs>
        <w:ind w:left="720" w:hanging="360"/>
      </w:pPr>
      <w:rPr>
        <w:rFonts w:ascii="Wingdings" w:hAnsi="Wingding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4" w15:restartNumberingAfterBreak="0">
    <w:nsid w:val="6DDF5B81"/>
    <w:multiLevelType w:val="multilevel"/>
    <w:tmpl w:val="6DDF5B81"/>
    <w:lvl w:ilvl="0">
      <w:start w:val="1"/>
      <w:numFmt w:val="upperLetter"/>
      <w:lvlText w:val="%1)"/>
      <w:lvlJc w:val="left"/>
      <w:pPr>
        <w:ind w:left="457" w:hanging="288"/>
      </w:pPr>
      <w:rPr>
        <w:rFonts w:ascii="Times New Roman" w:eastAsia="Times New Roman" w:hAnsi="Times New Roman" w:cs="Times New Roman" w:hint="default"/>
        <w:b/>
        <w:bCs/>
        <w:spacing w:val="-2"/>
        <w:w w:val="100"/>
        <w:sz w:val="22"/>
        <w:szCs w:val="22"/>
        <w:lang w:val="fr-FR" w:eastAsia="en-US" w:bidi="ar-SA"/>
      </w:rPr>
    </w:lvl>
    <w:lvl w:ilvl="1">
      <w:start w:val="1"/>
      <w:numFmt w:val="decimal"/>
      <w:lvlText w:val="%2)"/>
      <w:lvlJc w:val="left"/>
      <w:pPr>
        <w:ind w:left="954" w:hanging="360"/>
      </w:pPr>
      <w:rPr>
        <w:rFonts w:ascii="Times New Roman" w:eastAsia="Times New Roman" w:hAnsi="Times New Roman" w:cs="Times New Roman" w:hint="default"/>
        <w:w w:val="99"/>
        <w:sz w:val="24"/>
        <w:szCs w:val="24"/>
        <w:lang w:val="fr-FR" w:eastAsia="en-US" w:bidi="ar-SA"/>
      </w:rPr>
    </w:lvl>
    <w:lvl w:ilvl="2">
      <w:numFmt w:val="bullet"/>
      <w:lvlText w:val="•"/>
      <w:lvlJc w:val="left"/>
      <w:pPr>
        <w:ind w:left="2049" w:hanging="360"/>
      </w:pPr>
      <w:rPr>
        <w:rFonts w:hint="default"/>
        <w:lang w:val="fr-FR" w:eastAsia="en-US" w:bidi="ar-SA"/>
      </w:rPr>
    </w:lvl>
    <w:lvl w:ilvl="3">
      <w:numFmt w:val="bullet"/>
      <w:lvlText w:val="•"/>
      <w:lvlJc w:val="left"/>
      <w:pPr>
        <w:ind w:left="3139" w:hanging="360"/>
      </w:pPr>
      <w:rPr>
        <w:rFonts w:hint="default"/>
        <w:lang w:val="fr-FR" w:eastAsia="en-US" w:bidi="ar-SA"/>
      </w:rPr>
    </w:lvl>
    <w:lvl w:ilvl="4">
      <w:numFmt w:val="bullet"/>
      <w:lvlText w:val="•"/>
      <w:lvlJc w:val="left"/>
      <w:pPr>
        <w:ind w:left="4228" w:hanging="360"/>
      </w:pPr>
      <w:rPr>
        <w:rFonts w:hint="default"/>
        <w:lang w:val="fr-FR" w:eastAsia="en-US" w:bidi="ar-SA"/>
      </w:rPr>
    </w:lvl>
    <w:lvl w:ilvl="5">
      <w:numFmt w:val="bullet"/>
      <w:lvlText w:val="•"/>
      <w:lvlJc w:val="left"/>
      <w:pPr>
        <w:ind w:left="5318" w:hanging="360"/>
      </w:pPr>
      <w:rPr>
        <w:rFonts w:hint="default"/>
        <w:lang w:val="fr-FR" w:eastAsia="en-US" w:bidi="ar-SA"/>
      </w:rPr>
    </w:lvl>
    <w:lvl w:ilvl="6">
      <w:numFmt w:val="bullet"/>
      <w:lvlText w:val="•"/>
      <w:lvlJc w:val="left"/>
      <w:pPr>
        <w:ind w:left="6408" w:hanging="360"/>
      </w:pPr>
      <w:rPr>
        <w:rFonts w:hint="default"/>
        <w:lang w:val="fr-FR" w:eastAsia="en-US" w:bidi="ar-SA"/>
      </w:rPr>
    </w:lvl>
    <w:lvl w:ilvl="7">
      <w:numFmt w:val="bullet"/>
      <w:lvlText w:val="•"/>
      <w:lvlJc w:val="left"/>
      <w:pPr>
        <w:ind w:left="7497" w:hanging="360"/>
      </w:pPr>
      <w:rPr>
        <w:rFonts w:hint="default"/>
        <w:lang w:val="fr-FR" w:eastAsia="en-US" w:bidi="ar-SA"/>
      </w:rPr>
    </w:lvl>
    <w:lvl w:ilvl="8">
      <w:numFmt w:val="bullet"/>
      <w:lvlText w:val="•"/>
      <w:lvlJc w:val="left"/>
      <w:pPr>
        <w:ind w:left="8587" w:hanging="360"/>
      </w:pPr>
      <w:rPr>
        <w:rFonts w:hint="default"/>
        <w:lang w:val="fr-FR" w:eastAsia="en-US" w:bidi="ar-SA"/>
      </w:rPr>
    </w:lvl>
  </w:abstractNum>
  <w:abstractNum w:abstractNumId="45" w15:restartNumberingAfterBreak="0">
    <w:nsid w:val="6DF1184E"/>
    <w:multiLevelType w:val="multilevel"/>
    <w:tmpl w:val="6DF1184E"/>
    <w:lvl w:ilvl="0">
      <w:numFmt w:val="bullet"/>
      <w:lvlText w:val="-"/>
      <w:lvlJc w:val="left"/>
      <w:pPr>
        <w:ind w:left="113" w:hanging="113"/>
      </w:pPr>
      <w:rPr>
        <w:rFonts w:ascii="Arial MT" w:eastAsia="Arial MT" w:hAnsi="Arial MT" w:cs="Arial MT" w:hint="default"/>
        <w:w w:val="99"/>
        <w:sz w:val="24"/>
        <w:szCs w:val="24"/>
        <w:lang w:val="fr-FR" w:eastAsia="en-US" w:bidi="ar-SA"/>
      </w:rPr>
    </w:lvl>
    <w:lvl w:ilvl="1">
      <w:numFmt w:val="bullet"/>
      <w:lvlText w:val="•"/>
      <w:lvlJc w:val="left"/>
      <w:pPr>
        <w:ind w:left="444" w:hanging="113"/>
      </w:pPr>
      <w:rPr>
        <w:rFonts w:hint="default"/>
        <w:lang w:val="fr-FR" w:eastAsia="en-US" w:bidi="ar-SA"/>
      </w:rPr>
    </w:lvl>
    <w:lvl w:ilvl="2">
      <w:numFmt w:val="bullet"/>
      <w:lvlText w:val="•"/>
      <w:lvlJc w:val="left"/>
      <w:pPr>
        <w:ind w:left="708" w:hanging="113"/>
      </w:pPr>
      <w:rPr>
        <w:rFonts w:hint="default"/>
        <w:lang w:val="fr-FR" w:eastAsia="en-US" w:bidi="ar-SA"/>
      </w:rPr>
    </w:lvl>
    <w:lvl w:ilvl="3">
      <w:numFmt w:val="bullet"/>
      <w:lvlText w:val="•"/>
      <w:lvlJc w:val="left"/>
      <w:pPr>
        <w:ind w:left="973" w:hanging="113"/>
      </w:pPr>
      <w:rPr>
        <w:rFonts w:hint="default"/>
        <w:lang w:val="fr-FR" w:eastAsia="en-US" w:bidi="ar-SA"/>
      </w:rPr>
    </w:lvl>
    <w:lvl w:ilvl="4">
      <w:numFmt w:val="bullet"/>
      <w:lvlText w:val="•"/>
      <w:lvlJc w:val="left"/>
      <w:pPr>
        <w:ind w:left="1237" w:hanging="113"/>
      </w:pPr>
      <w:rPr>
        <w:rFonts w:hint="default"/>
        <w:lang w:val="fr-FR" w:eastAsia="en-US" w:bidi="ar-SA"/>
      </w:rPr>
    </w:lvl>
    <w:lvl w:ilvl="5">
      <w:numFmt w:val="bullet"/>
      <w:lvlText w:val="•"/>
      <w:lvlJc w:val="left"/>
      <w:pPr>
        <w:ind w:left="1502" w:hanging="113"/>
      </w:pPr>
      <w:rPr>
        <w:rFonts w:hint="default"/>
        <w:lang w:val="fr-FR" w:eastAsia="en-US" w:bidi="ar-SA"/>
      </w:rPr>
    </w:lvl>
    <w:lvl w:ilvl="6">
      <w:numFmt w:val="bullet"/>
      <w:lvlText w:val="•"/>
      <w:lvlJc w:val="left"/>
      <w:pPr>
        <w:ind w:left="1766" w:hanging="113"/>
      </w:pPr>
      <w:rPr>
        <w:rFonts w:hint="default"/>
        <w:lang w:val="fr-FR" w:eastAsia="en-US" w:bidi="ar-SA"/>
      </w:rPr>
    </w:lvl>
    <w:lvl w:ilvl="7">
      <w:numFmt w:val="bullet"/>
      <w:lvlText w:val="•"/>
      <w:lvlJc w:val="left"/>
      <w:pPr>
        <w:ind w:left="2030" w:hanging="113"/>
      </w:pPr>
      <w:rPr>
        <w:rFonts w:hint="default"/>
        <w:lang w:val="fr-FR" w:eastAsia="en-US" w:bidi="ar-SA"/>
      </w:rPr>
    </w:lvl>
    <w:lvl w:ilvl="8">
      <w:numFmt w:val="bullet"/>
      <w:lvlText w:val="•"/>
      <w:lvlJc w:val="left"/>
      <w:pPr>
        <w:ind w:left="2295" w:hanging="113"/>
      </w:pPr>
      <w:rPr>
        <w:rFonts w:hint="default"/>
        <w:lang w:val="fr-FR" w:eastAsia="en-US" w:bidi="ar-SA"/>
      </w:rPr>
    </w:lvl>
  </w:abstractNum>
  <w:abstractNum w:abstractNumId="46" w15:restartNumberingAfterBreak="0">
    <w:nsid w:val="6FA8448E"/>
    <w:multiLevelType w:val="multilevel"/>
    <w:tmpl w:val="6FA844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0BE7DA5"/>
    <w:multiLevelType w:val="multilevel"/>
    <w:tmpl w:val="70BE7DA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14371EB"/>
    <w:multiLevelType w:val="multilevel"/>
    <w:tmpl w:val="714371EB"/>
    <w:lvl w:ilvl="0">
      <w:start w:val="1"/>
      <w:numFmt w:val="bullet"/>
      <w:lvlText w:val=""/>
      <w:lvlJc w:val="left"/>
      <w:pPr>
        <w:ind w:left="720" w:hanging="360"/>
      </w:pPr>
      <w:rPr>
        <w:rFonts w:ascii="Wingdings" w:hAnsi="Wingdings" w:hint="default"/>
        <w:b/>
        <w:color w:val="1F3864" w:themeColor="accent5"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95167F4"/>
    <w:multiLevelType w:val="multilevel"/>
    <w:tmpl w:val="795167F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A6305ED"/>
    <w:multiLevelType w:val="multilevel"/>
    <w:tmpl w:val="7A6305E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BF82002"/>
    <w:multiLevelType w:val="multilevel"/>
    <w:tmpl w:val="7BF82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7"/>
  </w:num>
  <w:num w:numId="3">
    <w:abstractNumId w:val="35"/>
  </w:num>
  <w:num w:numId="4">
    <w:abstractNumId w:val="48"/>
  </w:num>
  <w:num w:numId="5">
    <w:abstractNumId w:val="21"/>
  </w:num>
  <w:num w:numId="6">
    <w:abstractNumId w:val="19"/>
  </w:num>
  <w:num w:numId="7">
    <w:abstractNumId w:val="47"/>
  </w:num>
  <w:num w:numId="8">
    <w:abstractNumId w:val="49"/>
  </w:num>
  <w:num w:numId="9">
    <w:abstractNumId w:val="8"/>
  </w:num>
  <w:num w:numId="10">
    <w:abstractNumId w:val="30"/>
  </w:num>
  <w:num w:numId="11">
    <w:abstractNumId w:val="50"/>
  </w:num>
  <w:num w:numId="12">
    <w:abstractNumId w:val="10"/>
  </w:num>
  <w:num w:numId="13">
    <w:abstractNumId w:val="25"/>
  </w:num>
  <w:num w:numId="14">
    <w:abstractNumId w:val="14"/>
  </w:num>
  <w:num w:numId="15">
    <w:abstractNumId w:val="31"/>
  </w:num>
  <w:num w:numId="16">
    <w:abstractNumId w:val="41"/>
  </w:num>
  <w:num w:numId="17">
    <w:abstractNumId w:val="22"/>
  </w:num>
  <w:num w:numId="18">
    <w:abstractNumId w:val="18"/>
  </w:num>
  <w:num w:numId="19">
    <w:abstractNumId w:val="9"/>
  </w:num>
  <w:num w:numId="20">
    <w:abstractNumId w:val="2"/>
  </w:num>
  <w:num w:numId="21">
    <w:abstractNumId w:val="32"/>
  </w:num>
  <w:num w:numId="22">
    <w:abstractNumId w:val="13"/>
  </w:num>
  <w:num w:numId="23">
    <w:abstractNumId w:val="5"/>
  </w:num>
  <w:num w:numId="24">
    <w:abstractNumId w:val="46"/>
  </w:num>
  <w:num w:numId="25">
    <w:abstractNumId w:val="29"/>
  </w:num>
  <w:num w:numId="26">
    <w:abstractNumId w:val="33"/>
  </w:num>
  <w:num w:numId="27">
    <w:abstractNumId w:val="38"/>
  </w:num>
  <w:num w:numId="28">
    <w:abstractNumId w:val="20"/>
  </w:num>
  <w:num w:numId="29">
    <w:abstractNumId w:val="1"/>
  </w:num>
  <w:num w:numId="30">
    <w:abstractNumId w:val="6"/>
  </w:num>
  <w:num w:numId="31">
    <w:abstractNumId w:val="24"/>
  </w:num>
  <w:num w:numId="32">
    <w:abstractNumId w:val="3"/>
  </w:num>
  <w:num w:numId="33">
    <w:abstractNumId w:val="28"/>
  </w:num>
  <w:num w:numId="34">
    <w:abstractNumId w:val="40"/>
  </w:num>
  <w:num w:numId="35">
    <w:abstractNumId w:val="27"/>
  </w:num>
  <w:num w:numId="36">
    <w:abstractNumId w:val="34"/>
  </w:num>
  <w:num w:numId="37">
    <w:abstractNumId w:val="4"/>
  </w:num>
  <w:num w:numId="38">
    <w:abstractNumId w:val="36"/>
  </w:num>
  <w:num w:numId="39">
    <w:abstractNumId w:val="12"/>
  </w:num>
  <w:num w:numId="40">
    <w:abstractNumId w:val="42"/>
  </w:num>
  <w:num w:numId="41">
    <w:abstractNumId w:val="51"/>
  </w:num>
  <w:num w:numId="42">
    <w:abstractNumId w:val="7"/>
  </w:num>
  <w:num w:numId="43">
    <w:abstractNumId w:val="23"/>
  </w:num>
  <w:num w:numId="44">
    <w:abstractNumId w:val="39"/>
  </w:num>
  <w:num w:numId="45">
    <w:abstractNumId w:val="43"/>
  </w:num>
  <w:num w:numId="46">
    <w:abstractNumId w:val="16"/>
  </w:num>
  <w:num w:numId="47">
    <w:abstractNumId w:val="17"/>
  </w:num>
  <w:num w:numId="48">
    <w:abstractNumId w:val="15"/>
  </w:num>
  <w:num w:numId="49">
    <w:abstractNumId w:val="45"/>
  </w:num>
  <w:num w:numId="50">
    <w:abstractNumId w:val="26"/>
  </w:num>
  <w:num w:numId="51">
    <w:abstractNumId w:val="11"/>
  </w:num>
  <w:num w:numId="52">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217"/>
    <w:rsid w:val="000007D7"/>
    <w:rsid w:val="000008CD"/>
    <w:rsid w:val="00000B48"/>
    <w:rsid w:val="000038CF"/>
    <w:rsid w:val="00003B52"/>
    <w:rsid w:val="000049AC"/>
    <w:rsid w:val="00004B98"/>
    <w:rsid w:val="000058C9"/>
    <w:rsid w:val="00005908"/>
    <w:rsid w:val="00006FC4"/>
    <w:rsid w:val="00011599"/>
    <w:rsid w:val="00011D76"/>
    <w:rsid w:val="00011FB2"/>
    <w:rsid w:val="000126F3"/>
    <w:rsid w:val="00014CB3"/>
    <w:rsid w:val="00015CE0"/>
    <w:rsid w:val="00016C1E"/>
    <w:rsid w:val="00020AD8"/>
    <w:rsid w:val="000227E8"/>
    <w:rsid w:val="00022976"/>
    <w:rsid w:val="000229E1"/>
    <w:rsid w:val="00023A18"/>
    <w:rsid w:val="00027436"/>
    <w:rsid w:val="00032471"/>
    <w:rsid w:val="00032BA7"/>
    <w:rsid w:val="00033096"/>
    <w:rsid w:val="00033E32"/>
    <w:rsid w:val="00035AD1"/>
    <w:rsid w:val="00035F48"/>
    <w:rsid w:val="00036092"/>
    <w:rsid w:val="0003649C"/>
    <w:rsid w:val="00036E8D"/>
    <w:rsid w:val="00037135"/>
    <w:rsid w:val="00037FB7"/>
    <w:rsid w:val="00040FDC"/>
    <w:rsid w:val="0004144F"/>
    <w:rsid w:val="000418CB"/>
    <w:rsid w:val="000420D7"/>
    <w:rsid w:val="00042E41"/>
    <w:rsid w:val="00043ABD"/>
    <w:rsid w:val="00044D01"/>
    <w:rsid w:val="000505C7"/>
    <w:rsid w:val="00053304"/>
    <w:rsid w:val="00053C7B"/>
    <w:rsid w:val="0005446B"/>
    <w:rsid w:val="000547AE"/>
    <w:rsid w:val="00055E73"/>
    <w:rsid w:val="00057596"/>
    <w:rsid w:val="000605BB"/>
    <w:rsid w:val="00060A8F"/>
    <w:rsid w:val="0006441C"/>
    <w:rsid w:val="00064730"/>
    <w:rsid w:val="000654CD"/>
    <w:rsid w:val="000656D4"/>
    <w:rsid w:val="00065B40"/>
    <w:rsid w:val="0006695C"/>
    <w:rsid w:val="00066BE4"/>
    <w:rsid w:val="00067313"/>
    <w:rsid w:val="00067C72"/>
    <w:rsid w:val="00070BD2"/>
    <w:rsid w:val="0007273B"/>
    <w:rsid w:val="000732B1"/>
    <w:rsid w:val="000749E1"/>
    <w:rsid w:val="00074EAF"/>
    <w:rsid w:val="00076456"/>
    <w:rsid w:val="0007721A"/>
    <w:rsid w:val="00077786"/>
    <w:rsid w:val="00077794"/>
    <w:rsid w:val="00077AE6"/>
    <w:rsid w:val="00080574"/>
    <w:rsid w:val="00080DDE"/>
    <w:rsid w:val="0008157B"/>
    <w:rsid w:val="000815F3"/>
    <w:rsid w:val="00081E07"/>
    <w:rsid w:val="00083684"/>
    <w:rsid w:val="00084226"/>
    <w:rsid w:val="00090905"/>
    <w:rsid w:val="000912DF"/>
    <w:rsid w:val="0009278A"/>
    <w:rsid w:val="000959F4"/>
    <w:rsid w:val="00096C3D"/>
    <w:rsid w:val="0009743D"/>
    <w:rsid w:val="000A03AD"/>
    <w:rsid w:val="000A0EE2"/>
    <w:rsid w:val="000A18E9"/>
    <w:rsid w:val="000A28C1"/>
    <w:rsid w:val="000A30CD"/>
    <w:rsid w:val="000A6AE9"/>
    <w:rsid w:val="000B00FA"/>
    <w:rsid w:val="000B1625"/>
    <w:rsid w:val="000B17A7"/>
    <w:rsid w:val="000B253C"/>
    <w:rsid w:val="000B33C3"/>
    <w:rsid w:val="000B36A3"/>
    <w:rsid w:val="000B375A"/>
    <w:rsid w:val="000B5707"/>
    <w:rsid w:val="000B5FF4"/>
    <w:rsid w:val="000B63FD"/>
    <w:rsid w:val="000B6CD9"/>
    <w:rsid w:val="000B7B3B"/>
    <w:rsid w:val="000C092C"/>
    <w:rsid w:val="000C2826"/>
    <w:rsid w:val="000C7D72"/>
    <w:rsid w:val="000D16F1"/>
    <w:rsid w:val="000D172A"/>
    <w:rsid w:val="000D338B"/>
    <w:rsid w:val="000D33A2"/>
    <w:rsid w:val="000D457C"/>
    <w:rsid w:val="000D493F"/>
    <w:rsid w:val="000D53DE"/>
    <w:rsid w:val="000E0849"/>
    <w:rsid w:val="000E1291"/>
    <w:rsid w:val="000E2A7D"/>
    <w:rsid w:val="000E339D"/>
    <w:rsid w:val="000E382A"/>
    <w:rsid w:val="000E4041"/>
    <w:rsid w:val="000E61D5"/>
    <w:rsid w:val="000F031D"/>
    <w:rsid w:val="000F1925"/>
    <w:rsid w:val="000F449D"/>
    <w:rsid w:val="000F48D0"/>
    <w:rsid w:val="000F5011"/>
    <w:rsid w:val="000F554F"/>
    <w:rsid w:val="000F56B5"/>
    <w:rsid w:val="000F5903"/>
    <w:rsid w:val="000F6553"/>
    <w:rsid w:val="000F6D87"/>
    <w:rsid w:val="000F752F"/>
    <w:rsid w:val="000F7CEF"/>
    <w:rsid w:val="001006AF"/>
    <w:rsid w:val="0010114A"/>
    <w:rsid w:val="00101648"/>
    <w:rsid w:val="00101E97"/>
    <w:rsid w:val="00102C6D"/>
    <w:rsid w:val="00104174"/>
    <w:rsid w:val="00104489"/>
    <w:rsid w:val="00104EA6"/>
    <w:rsid w:val="00104F7C"/>
    <w:rsid w:val="00105067"/>
    <w:rsid w:val="001057CC"/>
    <w:rsid w:val="00105F1F"/>
    <w:rsid w:val="0010625B"/>
    <w:rsid w:val="0011043D"/>
    <w:rsid w:val="0011097B"/>
    <w:rsid w:val="001118F8"/>
    <w:rsid w:val="00112285"/>
    <w:rsid w:val="001127FB"/>
    <w:rsid w:val="00113759"/>
    <w:rsid w:val="00113A1F"/>
    <w:rsid w:val="00114556"/>
    <w:rsid w:val="00114A6B"/>
    <w:rsid w:val="00114B0F"/>
    <w:rsid w:val="00115B33"/>
    <w:rsid w:val="00116E07"/>
    <w:rsid w:val="00117E16"/>
    <w:rsid w:val="00120B96"/>
    <w:rsid w:val="00121C8D"/>
    <w:rsid w:val="001223CD"/>
    <w:rsid w:val="00122664"/>
    <w:rsid w:val="00124148"/>
    <w:rsid w:val="00125A5F"/>
    <w:rsid w:val="00127864"/>
    <w:rsid w:val="00130306"/>
    <w:rsid w:val="00130D3C"/>
    <w:rsid w:val="0013105A"/>
    <w:rsid w:val="00131ED4"/>
    <w:rsid w:val="00131EE5"/>
    <w:rsid w:val="00131F6F"/>
    <w:rsid w:val="00132CD2"/>
    <w:rsid w:val="00133A2F"/>
    <w:rsid w:val="00133CC5"/>
    <w:rsid w:val="001346F7"/>
    <w:rsid w:val="00134D24"/>
    <w:rsid w:val="001366A5"/>
    <w:rsid w:val="00136B86"/>
    <w:rsid w:val="00137655"/>
    <w:rsid w:val="00141AB2"/>
    <w:rsid w:val="001427EB"/>
    <w:rsid w:val="00142DD9"/>
    <w:rsid w:val="0014480A"/>
    <w:rsid w:val="00144C3B"/>
    <w:rsid w:val="001472DF"/>
    <w:rsid w:val="00147A03"/>
    <w:rsid w:val="0015022D"/>
    <w:rsid w:val="0015096E"/>
    <w:rsid w:val="00151438"/>
    <w:rsid w:val="00152669"/>
    <w:rsid w:val="001559B0"/>
    <w:rsid w:val="00156207"/>
    <w:rsid w:val="001570EA"/>
    <w:rsid w:val="001572C8"/>
    <w:rsid w:val="00160BAC"/>
    <w:rsid w:val="001610D1"/>
    <w:rsid w:val="00163FD5"/>
    <w:rsid w:val="00165801"/>
    <w:rsid w:val="00166115"/>
    <w:rsid w:val="00166E47"/>
    <w:rsid w:val="00167BAC"/>
    <w:rsid w:val="00167F1E"/>
    <w:rsid w:val="00170070"/>
    <w:rsid w:val="001705AE"/>
    <w:rsid w:val="0017195D"/>
    <w:rsid w:val="0017292A"/>
    <w:rsid w:val="001732B3"/>
    <w:rsid w:val="001732C0"/>
    <w:rsid w:val="00174A70"/>
    <w:rsid w:val="00175C4E"/>
    <w:rsid w:val="00175DC2"/>
    <w:rsid w:val="00175EAE"/>
    <w:rsid w:val="00176069"/>
    <w:rsid w:val="0017636F"/>
    <w:rsid w:val="001767B1"/>
    <w:rsid w:val="00177431"/>
    <w:rsid w:val="001823EE"/>
    <w:rsid w:val="001831EF"/>
    <w:rsid w:val="00183238"/>
    <w:rsid w:val="00183B16"/>
    <w:rsid w:val="00184290"/>
    <w:rsid w:val="00184458"/>
    <w:rsid w:val="001858A6"/>
    <w:rsid w:val="0018624A"/>
    <w:rsid w:val="001873DF"/>
    <w:rsid w:val="00190C27"/>
    <w:rsid w:val="00191096"/>
    <w:rsid w:val="00191CA5"/>
    <w:rsid w:val="00191FA4"/>
    <w:rsid w:val="00192E14"/>
    <w:rsid w:val="00194A87"/>
    <w:rsid w:val="00196113"/>
    <w:rsid w:val="00196A36"/>
    <w:rsid w:val="001976F0"/>
    <w:rsid w:val="001A07DA"/>
    <w:rsid w:val="001A0F9D"/>
    <w:rsid w:val="001A2041"/>
    <w:rsid w:val="001A233E"/>
    <w:rsid w:val="001A2970"/>
    <w:rsid w:val="001A4390"/>
    <w:rsid w:val="001A5F38"/>
    <w:rsid w:val="001A6E76"/>
    <w:rsid w:val="001B0FAF"/>
    <w:rsid w:val="001B13AA"/>
    <w:rsid w:val="001B3A9B"/>
    <w:rsid w:val="001B4D1C"/>
    <w:rsid w:val="001B59A4"/>
    <w:rsid w:val="001B6FA1"/>
    <w:rsid w:val="001B74B8"/>
    <w:rsid w:val="001C461B"/>
    <w:rsid w:val="001C47A2"/>
    <w:rsid w:val="001C5A0D"/>
    <w:rsid w:val="001C5BA4"/>
    <w:rsid w:val="001C5CF8"/>
    <w:rsid w:val="001C6A06"/>
    <w:rsid w:val="001C7707"/>
    <w:rsid w:val="001D03F8"/>
    <w:rsid w:val="001D0B4E"/>
    <w:rsid w:val="001D1ABF"/>
    <w:rsid w:val="001D2066"/>
    <w:rsid w:val="001D2AF1"/>
    <w:rsid w:val="001D5030"/>
    <w:rsid w:val="001D649D"/>
    <w:rsid w:val="001D7767"/>
    <w:rsid w:val="001D7F90"/>
    <w:rsid w:val="001E04EF"/>
    <w:rsid w:val="001E079F"/>
    <w:rsid w:val="001E35A8"/>
    <w:rsid w:val="001E3646"/>
    <w:rsid w:val="001E46B3"/>
    <w:rsid w:val="001E5AC2"/>
    <w:rsid w:val="001E5CBC"/>
    <w:rsid w:val="001E6AD5"/>
    <w:rsid w:val="001E7283"/>
    <w:rsid w:val="001F120B"/>
    <w:rsid w:val="001F1C71"/>
    <w:rsid w:val="001F2650"/>
    <w:rsid w:val="001F2DFB"/>
    <w:rsid w:val="001F3853"/>
    <w:rsid w:val="001F42DE"/>
    <w:rsid w:val="001F56AC"/>
    <w:rsid w:val="001F5DBC"/>
    <w:rsid w:val="00200F63"/>
    <w:rsid w:val="00202C36"/>
    <w:rsid w:val="002037FD"/>
    <w:rsid w:val="002046B9"/>
    <w:rsid w:val="002048A4"/>
    <w:rsid w:val="00204D09"/>
    <w:rsid w:val="00206B2A"/>
    <w:rsid w:val="00211181"/>
    <w:rsid w:val="002127D0"/>
    <w:rsid w:val="0021466C"/>
    <w:rsid w:val="00214BBC"/>
    <w:rsid w:val="00214D74"/>
    <w:rsid w:val="00215D6E"/>
    <w:rsid w:val="00216A17"/>
    <w:rsid w:val="0022020B"/>
    <w:rsid w:val="00220FBE"/>
    <w:rsid w:val="002228D5"/>
    <w:rsid w:val="00223462"/>
    <w:rsid w:val="002245CF"/>
    <w:rsid w:val="00225D34"/>
    <w:rsid w:val="00225DD3"/>
    <w:rsid w:val="002278D7"/>
    <w:rsid w:val="00230B30"/>
    <w:rsid w:val="00230F87"/>
    <w:rsid w:val="002314CA"/>
    <w:rsid w:val="00232BDE"/>
    <w:rsid w:val="00232D03"/>
    <w:rsid w:val="0023535C"/>
    <w:rsid w:val="002362E5"/>
    <w:rsid w:val="00236E49"/>
    <w:rsid w:val="00240775"/>
    <w:rsid w:val="002409E5"/>
    <w:rsid w:val="0024356A"/>
    <w:rsid w:val="002438D4"/>
    <w:rsid w:val="00243FD3"/>
    <w:rsid w:val="0024450E"/>
    <w:rsid w:val="00246EE0"/>
    <w:rsid w:val="0024753F"/>
    <w:rsid w:val="002479C5"/>
    <w:rsid w:val="002506AD"/>
    <w:rsid w:val="00251124"/>
    <w:rsid w:val="00251B38"/>
    <w:rsid w:val="00253036"/>
    <w:rsid w:val="00254E5D"/>
    <w:rsid w:val="00256EAD"/>
    <w:rsid w:val="002579B1"/>
    <w:rsid w:val="00260618"/>
    <w:rsid w:val="00260922"/>
    <w:rsid w:val="00263820"/>
    <w:rsid w:val="00264DB1"/>
    <w:rsid w:val="00265E33"/>
    <w:rsid w:val="002672E0"/>
    <w:rsid w:val="00267A90"/>
    <w:rsid w:val="00267BA9"/>
    <w:rsid w:val="00270C8D"/>
    <w:rsid w:val="00271FA4"/>
    <w:rsid w:val="00273A5F"/>
    <w:rsid w:val="0027400D"/>
    <w:rsid w:val="002750A5"/>
    <w:rsid w:val="00275687"/>
    <w:rsid w:val="00276482"/>
    <w:rsid w:val="00276744"/>
    <w:rsid w:val="00276C96"/>
    <w:rsid w:val="002771C0"/>
    <w:rsid w:val="002776BD"/>
    <w:rsid w:val="00277B6C"/>
    <w:rsid w:val="002804D7"/>
    <w:rsid w:val="002805E0"/>
    <w:rsid w:val="0028365D"/>
    <w:rsid w:val="00284536"/>
    <w:rsid w:val="00284F17"/>
    <w:rsid w:val="002850AC"/>
    <w:rsid w:val="0028514C"/>
    <w:rsid w:val="00285B9F"/>
    <w:rsid w:val="002908FF"/>
    <w:rsid w:val="00290A11"/>
    <w:rsid w:val="00290D22"/>
    <w:rsid w:val="00291804"/>
    <w:rsid w:val="00292CEA"/>
    <w:rsid w:val="0029589F"/>
    <w:rsid w:val="002974AB"/>
    <w:rsid w:val="002A0D33"/>
    <w:rsid w:val="002A212F"/>
    <w:rsid w:val="002A2657"/>
    <w:rsid w:val="002A2919"/>
    <w:rsid w:val="002A346D"/>
    <w:rsid w:val="002A3A9C"/>
    <w:rsid w:val="002A7902"/>
    <w:rsid w:val="002A7EED"/>
    <w:rsid w:val="002B0009"/>
    <w:rsid w:val="002B0B24"/>
    <w:rsid w:val="002B0D01"/>
    <w:rsid w:val="002B38FA"/>
    <w:rsid w:val="002B4254"/>
    <w:rsid w:val="002B4457"/>
    <w:rsid w:val="002B488D"/>
    <w:rsid w:val="002B49B5"/>
    <w:rsid w:val="002B5257"/>
    <w:rsid w:val="002B5981"/>
    <w:rsid w:val="002B5AD3"/>
    <w:rsid w:val="002B6160"/>
    <w:rsid w:val="002B61D4"/>
    <w:rsid w:val="002C11C6"/>
    <w:rsid w:val="002C34A9"/>
    <w:rsid w:val="002C5374"/>
    <w:rsid w:val="002C53B4"/>
    <w:rsid w:val="002C7261"/>
    <w:rsid w:val="002C7EFD"/>
    <w:rsid w:val="002D0B24"/>
    <w:rsid w:val="002D0EA4"/>
    <w:rsid w:val="002D1479"/>
    <w:rsid w:val="002D238E"/>
    <w:rsid w:val="002D25BA"/>
    <w:rsid w:val="002D276A"/>
    <w:rsid w:val="002D3F9D"/>
    <w:rsid w:val="002D4D7C"/>
    <w:rsid w:val="002D50E7"/>
    <w:rsid w:val="002D5520"/>
    <w:rsid w:val="002D5537"/>
    <w:rsid w:val="002E0387"/>
    <w:rsid w:val="002E0CDD"/>
    <w:rsid w:val="002E324D"/>
    <w:rsid w:val="002E3272"/>
    <w:rsid w:val="002E3A98"/>
    <w:rsid w:val="002E3CC2"/>
    <w:rsid w:val="002E4A7F"/>
    <w:rsid w:val="002E58EF"/>
    <w:rsid w:val="002E5EC9"/>
    <w:rsid w:val="002E7CDC"/>
    <w:rsid w:val="002F02BB"/>
    <w:rsid w:val="002F05D7"/>
    <w:rsid w:val="002F08A2"/>
    <w:rsid w:val="002F3369"/>
    <w:rsid w:val="002F4735"/>
    <w:rsid w:val="002F4995"/>
    <w:rsid w:val="002F5722"/>
    <w:rsid w:val="002F5AA7"/>
    <w:rsid w:val="002F5E7E"/>
    <w:rsid w:val="002F6878"/>
    <w:rsid w:val="002F70A1"/>
    <w:rsid w:val="003016CB"/>
    <w:rsid w:val="00302D7C"/>
    <w:rsid w:val="00302F6F"/>
    <w:rsid w:val="003037AA"/>
    <w:rsid w:val="00303FEE"/>
    <w:rsid w:val="003041D9"/>
    <w:rsid w:val="00305E15"/>
    <w:rsid w:val="00307C38"/>
    <w:rsid w:val="003124A4"/>
    <w:rsid w:val="0031409D"/>
    <w:rsid w:val="00314708"/>
    <w:rsid w:val="00314C49"/>
    <w:rsid w:val="003160F7"/>
    <w:rsid w:val="00316357"/>
    <w:rsid w:val="0031681A"/>
    <w:rsid w:val="00320FF3"/>
    <w:rsid w:val="00321BB7"/>
    <w:rsid w:val="0032200D"/>
    <w:rsid w:val="00322DC2"/>
    <w:rsid w:val="00322FBF"/>
    <w:rsid w:val="00324463"/>
    <w:rsid w:val="0032499D"/>
    <w:rsid w:val="00325C5A"/>
    <w:rsid w:val="00326892"/>
    <w:rsid w:val="0033016C"/>
    <w:rsid w:val="00330751"/>
    <w:rsid w:val="00330C17"/>
    <w:rsid w:val="003313B5"/>
    <w:rsid w:val="00333DDC"/>
    <w:rsid w:val="003346BF"/>
    <w:rsid w:val="00336CA7"/>
    <w:rsid w:val="003419CC"/>
    <w:rsid w:val="00342412"/>
    <w:rsid w:val="003427C4"/>
    <w:rsid w:val="00342AB0"/>
    <w:rsid w:val="003442B5"/>
    <w:rsid w:val="00345A07"/>
    <w:rsid w:val="00345D50"/>
    <w:rsid w:val="00351FC2"/>
    <w:rsid w:val="0035285C"/>
    <w:rsid w:val="00353B8C"/>
    <w:rsid w:val="003540EF"/>
    <w:rsid w:val="00354884"/>
    <w:rsid w:val="00354DFB"/>
    <w:rsid w:val="0035625E"/>
    <w:rsid w:val="003575E7"/>
    <w:rsid w:val="00357B90"/>
    <w:rsid w:val="00357FE7"/>
    <w:rsid w:val="00360398"/>
    <w:rsid w:val="003614EA"/>
    <w:rsid w:val="0036336B"/>
    <w:rsid w:val="00363772"/>
    <w:rsid w:val="00363AD8"/>
    <w:rsid w:val="003643A6"/>
    <w:rsid w:val="003649FA"/>
    <w:rsid w:val="00364D5D"/>
    <w:rsid w:val="00366AEE"/>
    <w:rsid w:val="00370892"/>
    <w:rsid w:val="00370EAA"/>
    <w:rsid w:val="0037247E"/>
    <w:rsid w:val="00372FBD"/>
    <w:rsid w:val="00373827"/>
    <w:rsid w:val="00374755"/>
    <w:rsid w:val="00375753"/>
    <w:rsid w:val="00375DE7"/>
    <w:rsid w:val="00376025"/>
    <w:rsid w:val="0037636C"/>
    <w:rsid w:val="003767A6"/>
    <w:rsid w:val="003777C9"/>
    <w:rsid w:val="00380CF1"/>
    <w:rsid w:val="00382B42"/>
    <w:rsid w:val="00383A22"/>
    <w:rsid w:val="00383B35"/>
    <w:rsid w:val="003875D3"/>
    <w:rsid w:val="0039579E"/>
    <w:rsid w:val="003964E0"/>
    <w:rsid w:val="00396C0C"/>
    <w:rsid w:val="003A025C"/>
    <w:rsid w:val="003A16F7"/>
    <w:rsid w:val="003A1E86"/>
    <w:rsid w:val="003A3E0A"/>
    <w:rsid w:val="003A403F"/>
    <w:rsid w:val="003A475E"/>
    <w:rsid w:val="003A5ABF"/>
    <w:rsid w:val="003A5D68"/>
    <w:rsid w:val="003B004E"/>
    <w:rsid w:val="003B0AF1"/>
    <w:rsid w:val="003B235F"/>
    <w:rsid w:val="003B3583"/>
    <w:rsid w:val="003B3CC6"/>
    <w:rsid w:val="003B40B5"/>
    <w:rsid w:val="003B5A94"/>
    <w:rsid w:val="003B5CE4"/>
    <w:rsid w:val="003B5EBC"/>
    <w:rsid w:val="003B7055"/>
    <w:rsid w:val="003B7272"/>
    <w:rsid w:val="003B7DCB"/>
    <w:rsid w:val="003C2CF0"/>
    <w:rsid w:val="003C34EA"/>
    <w:rsid w:val="003C5815"/>
    <w:rsid w:val="003C6D97"/>
    <w:rsid w:val="003D0362"/>
    <w:rsid w:val="003D0F7C"/>
    <w:rsid w:val="003D1078"/>
    <w:rsid w:val="003D1AC7"/>
    <w:rsid w:val="003D3F6A"/>
    <w:rsid w:val="003D5777"/>
    <w:rsid w:val="003D5E43"/>
    <w:rsid w:val="003D68F0"/>
    <w:rsid w:val="003E0773"/>
    <w:rsid w:val="003E0D1B"/>
    <w:rsid w:val="003E0E24"/>
    <w:rsid w:val="003E1D52"/>
    <w:rsid w:val="003E2229"/>
    <w:rsid w:val="003E4567"/>
    <w:rsid w:val="003E45E4"/>
    <w:rsid w:val="003E4B7E"/>
    <w:rsid w:val="003E4B82"/>
    <w:rsid w:val="003E4FA1"/>
    <w:rsid w:val="003E5B63"/>
    <w:rsid w:val="003E7B53"/>
    <w:rsid w:val="003E7C27"/>
    <w:rsid w:val="003F1F43"/>
    <w:rsid w:val="003F272A"/>
    <w:rsid w:val="003F2BC6"/>
    <w:rsid w:val="003F3476"/>
    <w:rsid w:val="003F5BF8"/>
    <w:rsid w:val="003F620C"/>
    <w:rsid w:val="004027DC"/>
    <w:rsid w:val="0040449E"/>
    <w:rsid w:val="004059BE"/>
    <w:rsid w:val="004067CA"/>
    <w:rsid w:val="004069EF"/>
    <w:rsid w:val="004126BA"/>
    <w:rsid w:val="00416A2A"/>
    <w:rsid w:val="004172F9"/>
    <w:rsid w:val="0041744E"/>
    <w:rsid w:val="00417CE7"/>
    <w:rsid w:val="00417EA8"/>
    <w:rsid w:val="00421A1C"/>
    <w:rsid w:val="00421FD5"/>
    <w:rsid w:val="0042298B"/>
    <w:rsid w:val="00423BB0"/>
    <w:rsid w:val="00424B13"/>
    <w:rsid w:val="00424F06"/>
    <w:rsid w:val="00424F14"/>
    <w:rsid w:val="00425474"/>
    <w:rsid w:val="004268CF"/>
    <w:rsid w:val="00426925"/>
    <w:rsid w:val="00426C91"/>
    <w:rsid w:val="00426E17"/>
    <w:rsid w:val="00427AEB"/>
    <w:rsid w:val="004302DD"/>
    <w:rsid w:val="00430B7B"/>
    <w:rsid w:val="00432933"/>
    <w:rsid w:val="0043312C"/>
    <w:rsid w:val="0043415D"/>
    <w:rsid w:val="004348E6"/>
    <w:rsid w:val="004348F3"/>
    <w:rsid w:val="0043710A"/>
    <w:rsid w:val="00440592"/>
    <w:rsid w:val="00440625"/>
    <w:rsid w:val="00441A8D"/>
    <w:rsid w:val="00441C47"/>
    <w:rsid w:val="004427F6"/>
    <w:rsid w:val="00444B26"/>
    <w:rsid w:val="00445769"/>
    <w:rsid w:val="00450B30"/>
    <w:rsid w:val="00451084"/>
    <w:rsid w:val="00452844"/>
    <w:rsid w:val="0045328A"/>
    <w:rsid w:val="00453A8F"/>
    <w:rsid w:val="004566FD"/>
    <w:rsid w:val="00456AA0"/>
    <w:rsid w:val="004572B2"/>
    <w:rsid w:val="00457B3D"/>
    <w:rsid w:val="00460FFB"/>
    <w:rsid w:val="00461981"/>
    <w:rsid w:val="0046237E"/>
    <w:rsid w:val="004627C9"/>
    <w:rsid w:val="00464362"/>
    <w:rsid w:val="00465AF9"/>
    <w:rsid w:val="00466D3D"/>
    <w:rsid w:val="004717A5"/>
    <w:rsid w:val="00471979"/>
    <w:rsid w:val="004720FC"/>
    <w:rsid w:val="00472FD0"/>
    <w:rsid w:val="00473009"/>
    <w:rsid w:val="004739AA"/>
    <w:rsid w:val="00473DCB"/>
    <w:rsid w:val="00474908"/>
    <w:rsid w:val="0047602A"/>
    <w:rsid w:val="00480076"/>
    <w:rsid w:val="0048101F"/>
    <w:rsid w:val="0048270F"/>
    <w:rsid w:val="00483E7F"/>
    <w:rsid w:val="004844D8"/>
    <w:rsid w:val="00485656"/>
    <w:rsid w:val="0048754D"/>
    <w:rsid w:val="00487AD1"/>
    <w:rsid w:val="00490024"/>
    <w:rsid w:val="0049042A"/>
    <w:rsid w:val="00490680"/>
    <w:rsid w:val="004906DF"/>
    <w:rsid w:val="00490CF2"/>
    <w:rsid w:val="00490EC1"/>
    <w:rsid w:val="0049348E"/>
    <w:rsid w:val="004958D4"/>
    <w:rsid w:val="00496789"/>
    <w:rsid w:val="004975AF"/>
    <w:rsid w:val="00497725"/>
    <w:rsid w:val="004A0B6A"/>
    <w:rsid w:val="004A280A"/>
    <w:rsid w:val="004A4418"/>
    <w:rsid w:val="004A5695"/>
    <w:rsid w:val="004A7AEE"/>
    <w:rsid w:val="004A7D3E"/>
    <w:rsid w:val="004B0970"/>
    <w:rsid w:val="004B1DE5"/>
    <w:rsid w:val="004B2482"/>
    <w:rsid w:val="004B3083"/>
    <w:rsid w:val="004B3832"/>
    <w:rsid w:val="004B537D"/>
    <w:rsid w:val="004B5476"/>
    <w:rsid w:val="004B616A"/>
    <w:rsid w:val="004B6197"/>
    <w:rsid w:val="004B654F"/>
    <w:rsid w:val="004C0A10"/>
    <w:rsid w:val="004C0C4D"/>
    <w:rsid w:val="004C0CD6"/>
    <w:rsid w:val="004C1A5B"/>
    <w:rsid w:val="004C2AF5"/>
    <w:rsid w:val="004C35E3"/>
    <w:rsid w:val="004C5031"/>
    <w:rsid w:val="004C54BD"/>
    <w:rsid w:val="004C655A"/>
    <w:rsid w:val="004D0125"/>
    <w:rsid w:val="004D0F1A"/>
    <w:rsid w:val="004D448F"/>
    <w:rsid w:val="004D5125"/>
    <w:rsid w:val="004D7740"/>
    <w:rsid w:val="004E05C3"/>
    <w:rsid w:val="004E0E04"/>
    <w:rsid w:val="004E1A6A"/>
    <w:rsid w:val="004E1AA7"/>
    <w:rsid w:val="004E2108"/>
    <w:rsid w:val="004E3AEB"/>
    <w:rsid w:val="004E445B"/>
    <w:rsid w:val="004E4706"/>
    <w:rsid w:val="004E5735"/>
    <w:rsid w:val="004E6623"/>
    <w:rsid w:val="004E6CA6"/>
    <w:rsid w:val="004E7E90"/>
    <w:rsid w:val="004F05FD"/>
    <w:rsid w:val="004F0C2D"/>
    <w:rsid w:val="004F593A"/>
    <w:rsid w:val="004F61D0"/>
    <w:rsid w:val="004F6D70"/>
    <w:rsid w:val="005004D0"/>
    <w:rsid w:val="00503E76"/>
    <w:rsid w:val="00503E99"/>
    <w:rsid w:val="005045D6"/>
    <w:rsid w:val="00505E3A"/>
    <w:rsid w:val="00506F8D"/>
    <w:rsid w:val="005127E4"/>
    <w:rsid w:val="00513014"/>
    <w:rsid w:val="00513BC0"/>
    <w:rsid w:val="00513BF3"/>
    <w:rsid w:val="00514FA9"/>
    <w:rsid w:val="0051529A"/>
    <w:rsid w:val="005154BC"/>
    <w:rsid w:val="00515666"/>
    <w:rsid w:val="00515962"/>
    <w:rsid w:val="005160A0"/>
    <w:rsid w:val="00517106"/>
    <w:rsid w:val="00520DD7"/>
    <w:rsid w:val="00520E60"/>
    <w:rsid w:val="00521C2E"/>
    <w:rsid w:val="00521F78"/>
    <w:rsid w:val="00522E7C"/>
    <w:rsid w:val="00523C6E"/>
    <w:rsid w:val="005245D9"/>
    <w:rsid w:val="0052593F"/>
    <w:rsid w:val="00525D90"/>
    <w:rsid w:val="00527EB0"/>
    <w:rsid w:val="005309B6"/>
    <w:rsid w:val="00532C4F"/>
    <w:rsid w:val="00533FA8"/>
    <w:rsid w:val="005363BB"/>
    <w:rsid w:val="005364A4"/>
    <w:rsid w:val="005368E6"/>
    <w:rsid w:val="00536C9C"/>
    <w:rsid w:val="00537999"/>
    <w:rsid w:val="00542185"/>
    <w:rsid w:val="0054241F"/>
    <w:rsid w:val="0054280D"/>
    <w:rsid w:val="005434DA"/>
    <w:rsid w:val="005445B2"/>
    <w:rsid w:val="00544B1C"/>
    <w:rsid w:val="00544C06"/>
    <w:rsid w:val="00544CC4"/>
    <w:rsid w:val="00544E8E"/>
    <w:rsid w:val="005457B5"/>
    <w:rsid w:val="005467CD"/>
    <w:rsid w:val="00546E24"/>
    <w:rsid w:val="00546E38"/>
    <w:rsid w:val="0054787C"/>
    <w:rsid w:val="00547FA9"/>
    <w:rsid w:val="00550060"/>
    <w:rsid w:val="005502E7"/>
    <w:rsid w:val="005516B8"/>
    <w:rsid w:val="00552731"/>
    <w:rsid w:val="005569AD"/>
    <w:rsid w:val="005579CF"/>
    <w:rsid w:val="005600D1"/>
    <w:rsid w:val="005606E5"/>
    <w:rsid w:val="0056278D"/>
    <w:rsid w:val="005630BD"/>
    <w:rsid w:val="005654AE"/>
    <w:rsid w:val="00567CE2"/>
    <w:rsid w:val="005713A4"/>
    <w:rsid w:val="00572F95"/>
    <w:rsid w:val="00573086"/>
    <w:rsid w:val="00574E4C"/>
    <w:rsid w:val="00575AFA"/>
    <w:rsid w:val="00577899"/>
    <w:rsid w:val="00580734"/>
    <w:rsid w:val="005812B0"/>
    <w:rsid w:val="0058224B"/>
    <w:rsid w:val="00582896"/>
    <w:rsid w:val="005847E9"/>
    <w:rsid w:val="00585101"/>
    <w:rsid w:val="005852BC"/>
    <w:rsid w:val="00585492"/>
    <w:rsid w:val="005867EF"/>
    <w:rsid w:val="005870D1"/>
    <w:rsid w:val="00592213"/>
    <w:rsid w:val="005924A2"/>
    <w:rsid w:val="005929C9"/>
    <w:rsid w:val="00592DA8"/>
    <w:rsid w:val="0059487D"/>
    <w:rsid w:val="005977A2"/>
    <w:rsid w:val="00597FA7"/>
    <w:rsid w:val="005A41B9"/>
    <w:rsid w:val="005A4271"/>
    <w:rsid w:val="005A4A25"/>
    <w:rsid w:val="005A5D52"/>
    <w:rsid w:val="005A7368"/>
    <w:rsid w:val="005A7917"/>
    <w:rsid w:val="005A7B90"/>
    <w:rsid w:val="005B1992"/>
    <w:rsid w:val="005B2A20"/>
    <w:rsid w:val="005B2C3F"/>
    <w:rsid w:val="005B2F00"/>
    <w:rsid w:val="005B2F0F"/>
    <w:rsid w:val="005B3C03"/>
    <w:rsid w:val="005B3E32"/>
    <w:rsid w:val="005B40B2"/>
    <w:rsid w:val="005B543B"/>
    <w:rsid w:val="005B6659"/>
    <w:rsid w:val="005B71A1"/>
    <w:rsid w:val="005C11B4"/>
    <w:rsid w:val="005C1A30"/>
    <w:rsid w:val="005C230F"/>
    <w:rsid w:val="005C346D"/>
    <w:rsid w:val="005C3FBD"/>
    <w:rsid w:val="005C5603"/>
    <w:rsid w:val="005C647C"/>
    <w:rsid w:val="005C7250"/>
    <w:rsid w:val="005D266A"/>
    <w:rsid w:val="005D299F"/>
    <w:rsid w:val="005D4395"/>
    <w:rsid w:val="005D5232"/>
    <w:rsid w:val="005D54EB"/>
    <w:rsid w:val="005D577C"/>
    <w:rsid w:val="005D5C73"/>
    <w:rsid w:val="005D69D0"/>
    <w:rsid w:val="005D6A26"/>
    <w:rsid w:val="005D7C3B"/>
    <w:rsid w:val="005E010B"/>
    <w:rsid w:val="005E2757"/>
    <w:rsid w:val="005E43E8"/>
    <w:rsid w:val="005E597F"/>
    <w:rsid w:val="005E599A"/>
    <w:rsid w:val="005E6BBB"/>
    <w:rsid w:val="005E7B4F"/>
    <w:rsid w:val="005F0575"/>
    <w:rsid w:val="005F318D"/>
    <w:rsid w:val="005F3FB7"/>
    <w:rsid w:val="005F5FA9"/>
    <w:rsid w:val="005F61C5"/>
    <w:rsid w:val="005F6DEF"/>
    <w:rsid w:val="005F7025"/>
    <w:rsid w:val="00600184"/>
    <w:rsid w:val="00601166"/>
    <w:rsid w:val="006042D7"/>
    <w:rsid w:val="006056F9"/>
    <w:rsid w:val="00605789"/>
    <w:rsid w:val="00605D97"/>
    <w:rsid w:val="00606121"/>
    <w:rsid w:val="00607A13"/>
    <w:rsid w:val="0061043F"/>
    <w:rsid w:val="0061067C"/>
    <w:rsid w:val="00610D06"/>
    <w:rsid w:val="00611398"/>
    <w:rsid w:val="00611983"/>
    <w:rsid w:val="00612D06"/>
    <w:rsid w:val="00613284"/>
    <w:rsid w:val="00613374"/>
    <w:rsid w:val="0061389D"/>
    <w:rsid w:val="00613D29"/>
    <w:rsid w:val="00613EC2"/>
    <w:rsid w:val="00613F46"/>
    <w:rsid w:val="00614E3B"/>
    <w:rsid w:val="00616152"/>
    <w:rsid w:val="00616E5C"/>
    <w:rsid w:val="0061724B"/>
    <w:rsid w:val="00620B02"/>
    <w:rsid w:val="00622AAD"/>
    <w:rsid w:val="00625BFD"/>
    <w:rsid w:val="006266C5"/>
    <w:rsid w:val="0063204B"/>
    <w:rsid w:val="00632877"/>
    <w:rsid w:val="00632CAF"/>
    <w:rsid w:val="00632DC7"/>
    <w:rsid w:val="0063587F"/>
    <w:rsid w:val="0063673B"/>
    <w:rsid w:val="006422BF"/>
    <w:rsid w:val="006424C6"/>
    <w:rsid w:val="0064541E"/>
    <w:rsid w:val="006477CF"/>
    <w:rsid w:val="00650457"/>
    <w:rsid w:val="00650DAA"/>
    <w:rsid w:val="0065411A"/>
    <w:rsid w:val="00654618"/>
    <w:rsid w:val="006557E3"/>
    <w:rsid w:val="00655F4B"/>
    <w:rsid w:val="00656249"/>
    <w:rsid w:val="00656F20"/>
    <w:rsid w:val="0065725C"/>
    <w:rsid w:val="006600A4"/>
    <w:rsid w:val="006606B2"/>
    <w:rsid w:val="00665427"/>
    <w:rsid w:val="006659C1"/>
    <w:rsid w:val="00666AB9"/>
    <w:rsid w:val="00666DD2"/>
    <w:rsid w:val="006679B6"/>
    <w:rsid w:val="00667D9E"/>
    <w:rsid w:val="00670C2C"/>
    <w:rsid w:val="0067160F"/>
    <w:rsid w:val="00671AEC"/>
    <w:rsid w:val="00671C02"/>
    <w:rsid w:val="00672132"/>
    <w:rsid w:val="00674C97"/>
    <w:rsid w:val="00675431"/>
    <w:rsid w:val="006768A0"/>
    <w:rsid w:val="00677623"/>
    <w:rsid w:val="00680108"/>
    <w:rsid w:val="00681A5B"/>
    <w:rsid w:val="00682621"/>
    <w:rsid w:val="00682FA5"/>
    <w:rsid w:val="00683979"/>
    <w:rsid w:val="00685863"/>
    <w:rsid w:val="00686429"/>
    <w:rsid w:val="00687AC4"/>
    <w:rsid w:val="00687CA3"/>
    <w:rsid w:val="00690DF6"/>
    <w:rsid w:val="00690E68"/>
    <w:rsid w:val="0069231E"/>
    <w:rsid w:val="00693B2E"/>
    <w:rsid w:val="00693DFE"/>
    <w:rsid w:val="00695310"/>
    <w:rsid w:val="00695952"/>
    <w:rsid w:val="00696FCB"/>
    <w:rsid w:val="006975E5"/>
    <w:rsid w:val="006A12DD"/>
    <w:rsid w:val="006A1F88"/>
    <w:rsid w:val="006A3AFB"/>
    <w:rsid w:val="006A63BA"/>
    <w:rsid w:val="006B1548"/>
    <w:rsid w:val="006B2694"/>
    <w:rsid w:val="006B38A0"/>
    <w:rsid w:val="006B3AF5"/>
    <w:rsid w:val="006B44F0"/>
    <w:rsid w:val="006B5884"/>
    <w:rsid w:val="006B628C"/>
    <w:rsid w:val="006B7956"/>
    <w:rsid w:val="006C01FD"/>
    <w:rsid w:val="006C06BD"/>
    <w:rsid w:val="006C39CD"/>
    <w:rsid w:val="006C5A34"/>
    <w:rsid w:val="006C5FD5"/>
    <w:rsid w:val="006C6435"/>
    <w:rsid w:val="006D0120"/>
    <w:rsid w:val="006D02AA"/>
    <w:rsid w:val="006D13FC"/>
    <w:rsid w:val="006D1BE5"/>
    <w:rsid w:val="006D43A1"/>
    <w:rsid w:val="006D46C6"/>
    <w:rsid w:val="006D47D1"/>
    <w:rsid w:val="006D4F99"/>
    <w:rsid w:val="006D5259"/>
    <w:rsid w:val="006D5B7C"/>
    <w:rsid w:val="006D65A2"/>
    <w:rsid w:val="006D6DD7"/>
    <w:rsid w:val="006E139F"/>
    <w:rsid w:val="006E1DBB"/>
    <w:rsid w:val="006E1FAE"/>
    <w:rsid w:val="006E2D73"/>
    <w:rsid w:val="006E3489"/>
    <w:rsid w:val="006E4724"/>
    <w:rsid w:val="006E477F"/>
    <w:rsid w:val="006E49C3"/>
    <w:rsid w:val="006E4B2C"/>
    <w:rsid w:val="006F1CF3"/>
    <w:rsid w:val="006F1F04"/>
    <w:rsid w:val="006F1F62"/>
    <w:rsid w:val="006F26D7"/>
    <w:rsid w:val="006F2F46"/>
    <w:rsid w:val="006F329E"/>
    <w:rsid w:val="006F6BC2"/>
    <w:rsid w:val="006F7A74"/>
    <w:rsid w:val="00700C17"/>
    <w:rsid w:val="00701E80"/>
    <w:rsid w:val="0070249D"/>
    <w:rsid w:val="00706FDD"/>
    <w:rsid w:val="00710D24"/>
    <w:rsid w:val="00711771"/>
    <w:rsid w:val="00711A89"/>
    <w:rsid w:val="00711BD8"/>
    <w:rsid w:val="00713213"/>
    <w:rsid w:val="00713700"/>
    <w:rsid w:val="00713A10"/>
    <w:rsid w:val="007144BB"/>
    <w:rsid w:val="0071770A"/>
    <w:rsid w:val="00717DD8"/>
    <w:rsid w:val="007213F6"/>
    <w:rsid w:val="007218F0"/>
    <w:rsid w:val="00724E20"/>
    <w:rsid w:val="00724F97"/>
    <w:rsid w:val="00730656"/>
    <w:rsid w:val="007308BA"/>
    <w:rsid w:val="007324C9"/>
    <w:rsid w:val="00732876"/>
    <w:rsid w:val="007345FA"/>
    <w:rsid w:val="0073465B"/>
    <w:rsid w:val="007354AF"/>
    <w:rsid w:val="007366F0"/>
    <w:rsid w:val="00737EA7"/>
    <w:rsid w:val="007411F5"/>
    <w:rsid w:val="00741302"/>
    <w:rsid w:val="00741F4E"/>
    <w:rsid w:val="00742125"/>
    <w:rsid w:val="007429B9"/>
    <w:rsid w:val="007429E4"/>
    <w:rsid w:val="00743731"/>
    <w:rsid w:val="00744183"/>
    <w:rsid w:val="00744BC2"/>
    <w:rsid w:val="007476A0"/>
    <w:rsid w:val="00747C43"/>
    <w:rsid w:val="00750225"/>
    <w:rsid w:val="00750E95"/>
    <w:rsid w:val="00751957"/>
    <w:rsid w:val="00751CF6"/>
    <w:rsid w:val="0075247D"/>
    <w:rsid w:val="00753B04"/>
    <w:rsid w:val="007559A0"/>
    <w:rsid w:val="007565A9"/>
    <w:rsid w:val="00756627"/>
    <w:rsid w:val="00757B66"/>
    <w:rsid w:val="00760578"/>
    <w:rsid w:val="0076090B"/>
    <w:rsid w:val="007624D7"/>
    <w:rsid w:val="00764B7E"/>
    <w:rsid w:val="00766696"/>
    <w:rsid w:val="00766A4C"/>
    <w:rsid w:val="00767736"/>
    <w:rsid w:val="00770168"/>
    <w:rsid w:val="00775FDC"/>
    <w:rsid w:val="007801D0"/>
    <w:rsid w:val="0078217B"/>
    <w:rsid w:val="00782F2A"/>
    <w:rsid w:val="00784654"/>
    <w:rsid w:val="00785DCD"/>
    <w:rsid w:val="00785F50"/>
    <w:rsid w:val="007875D4"/>
    <w:rsid w:val="00790E49"/>
    <w:rsid w:val="00790FEE"/>
    <w:rsid w:val="007916F9"/>
    <w:rsid w:val="00791A79"/>
    <w:rsid w:val="00792373"/>
    <w:rsid w:val="00793E0C"/>
    <w:rsid w:val="00793F2C"/>
    <w:rsid w:val="007942A5"/>
    <w:rsid w:val="0079436D"/>
    <w:rsid w:val="00795961"/>
    <w:rsid w:val="00795B58"/>
    <w:rsid w:val="0079644C"/>
    <w:rsid w:val="007964C9"/>
    <w:rsid w:val="007969E0"/>
    <w:rsid w:val="00797689"/>
    <w:rsid w:val="00797BC8"/>
    <w:rsid w:val="007A01BB"/>
    <w:rsid w:val="007A03EB"/>
    <w:rsid w:val="007A0637"/>
    <w:rsid w:val="007A10A6"/>
    <w:rsid w:val="007A1A0D"/>
    <w:rsid w:val="007A1F5A"/>
    <w:rsid w:val="007A5B74"/>
    <w:rsid w:val="007A6F94"/>
    <w:rsid w:val="007A762E"/>
    <w:rsid w:val="007A77CD"/>
    <w:rsid w:val="007B0C5F"/>
    <w:rsid w:val="007B3385"/>
    <w:rsid w:val="007B3698"/>
    <w:rsid w:val="007B4673"/>
    <w:rsid w:val="007B4C05"/>
    <w:rsid w:val="007B536E"/>
    <w:rsid w:val="007B6105"/>
    <w:rsid w:val="007B708C"/>
    <w:rsid w:val="007B718D"/>
    <w:rsid w:val="007B7447"/>
    <w:rsid w:val="007C01ED"/>
    <w:rsid w:val="007C1281"/>
    <w:rsid w:val="007C2410"/>
    <w:rsid w:val="007C2D0A"/>
    <w:rsid w:val="007C2F8D"/>
    <w:rsid w:val="007C4BAF"/>
    <w:rsid w:val="007C692A"/>
    <w:rsid w:val="007C6A64"/>
    <w:rsid w:val="007C6EF4"/>
    <w:rsid w:val="007D16F6"/>
    <w:rsid w:val="007D173F"/>
    <w:rsid w:val="007D1E42"/>
    <w:rsid w:val="007D24DA"/>
    <w:rsid w:val="007D2541"/>
    <w:rsid w:val="007D2CD9"/>
    <w:rsid w:val="007D6583"/>
    <w:rsid w:val="007D6B2D"/>
    <w:rsid w:val="007D6F37"/>
    <w:rsid w:val="007D7BF3"/>
    <w:rsid w:val="007E19EF"/>
    <w:rsid w:val="007E24E5"/>
    <w:rsid w:val="007E2503"/>
    <w:rsid w:val="007E328E"/>
    <w:rsid w:val="007E607F"/>
    <w:rsid w:val="007E7C5A"/>
    <w:rsid w:val="007F28F6"/>
    <w:rsid w:val="007F36BA"/>
    <w:rsid w:val="007F3E3C"/>
    <w:rsid w:val="007F4B73"/>
    <w:rsid w:val="008008AC"/>
    <w:rsid w:val="00800BB1"/>
    <w:rsid w:val="00801D2A"/>
    <w:rsid w:val="008029D2"/>
    <w:rsid w:val="00802F54"/>
    <w:rsid w:val="00804AF2"/>
    <w:rsid w:val="008066E9"/>
    <w:rsid w:val="00811D05"/>
    <w:rsid w:val="00811E4E"/>
    <w:rsid w:val="00812B89"/>
    <w:rsid w:val="00812E0E"/>
    <w:rsid w:val="00816003"/>
    <w:rsid w:val="00820404"/>
    <w:rsid w:val="00820482"/>
    <w:rsid w:val="008206EF"/>
    <w:rsid w:val="00820C21"/>
    <w:rsid w:val="00820E41"/>
    <w:rsid w:val="0082322C"/>
    <w:rsid w:val="00824ABC"/>
    <w:rsid w:val="00826095"/>
    <w:rsid w:val="00831836"/>
    <w:rsid w:val="00832B17"/>
    <w:rsid w:val="00835E6D"/>
    <w:rsid w:val="00837F9B"/>
    <w:rsid w:val="0084016F"/>
    <w:rsid w:val="00842576"/>
    <w:rsid w:val="00842A38"/>
    <w:rsid w:val="008439E7"/>
    <w:rsid w:val="00845D78"/>
    <w:rsid w:val="00845F74"/>
    <w:rsid w:val="00851B81"/>
    <w:rsid w:val="00851C69"/>
    <w:rsid w:val="00867D0F"/>
    <w:rsid w:val="008714D6"/>
    <w:rsid w:val="00871E9F"/>
    <w:rsid w:val="00873CAB"/>
    <w:rsid w:val="008758B7"/>
    <w:rsid w:val="00880005"/>
    <w:rsid w:val="00880954"/>
    <w:rsid w:val="008813AB"/>
    <w:rsid w:val="00881F66"/>
    <w:rsid w:val="00884B31"/>
    <w:rsid w:val="00884CE0"/>
    <w:rsid w:val="008864E5"/>
    <w:rsid w:val="00886716"/>
    <w:rsid w:val="00890452"/>
    <w:rsid w:val="00890C72"/>
    <w:rsid w:val="008918A6"/>
    <w:rsid w:val="00891C26"/>
    <w:rsid w:val="008931C0"/>
    <w:rsid w:val="00893A43"/>
    <w:rsid w:val="00893B00"/>
    <w:rsid w:val="00893B51"/>
    <w:rsid w:val="00894A8B"/>
    <w:rsid w:val="00894C38"/>
    <w:rsid w:val="00895066"/>
    <w:rsid w:val="00895798"/>
    <w:rsid w:val="008968CF"/>
    <w:rsid w:val="00897F05"/>
    <w:rsid w:val="008A0C93"/>
    <w:rsid w:val="008A1FDB"/>
    <w:rsid w:val="008A20BF"/>
    <w:rsid w:val="008A262D"/>
    <w:rsid w:val="008A4ED1"/>
    <w:rsid w:val="008A67B2"/>
    <w:rsid w:val="008A7D94"/>
    <w:rsid w:val="008B3EFA"/>
    <w:rsid w:val="008B533D"/>
    <w:rsid w:val="008B6F42"/>
    <w:rsid w:val="008B71B7"/>
    <w:rsid w:val="008C1B67"/>
    <w:rsid w:val="008C5454"/>
    <w:rsid w:val="008C7749"/>
    <w:rsid w:val="008D29CE"/>
    <w:rsid w:val="008D29F4"/>
    <w:rsid w:val="008D476E"/>
    <w:rsid w:val="008D47AF"/>
    <w:rsid w:val="008D67C8"/>
    <w:rsid w:val="008D6F8B"/>
    <w:rsid w:val="008E05C4"/>
    <w:rsid w:val="008E4C78"/>
    <w:rsid w:val="008E52F9"/>
    <w:rsid w:val="008E63DC"/>
    <w:rsid w:val="008E69AD"/>
    <w:rsid w:val="008E70C3"/>
    <w:rsid w:val="008E7FBD"/>
    <w:rsid w:val="008F0165"/>
    <w:rsid w:val="008F09ED"/>
    <w:rsid w:val="008F1197"/>
    <w:rsid w:val="008F1575"/>
    <w:rsid w:val="008F1AEB"/>
    <w:rsid w:val="008F1D74"/>
    <w:rsid w:val="008F2910"/>
    <w:rsid w:val="008F3687"/>
    <w:rsid w:val="008F6907"/>
    <w:rsid w:val="0090027C"/>
    <w:rsid w:val="00900865"/>
    <w:rsid w:val="009011FE"/>
    <w:rsid w:val="009012DA"/>
    <w:rsid w:val="00901CF8"/>
    <w:rsid w:val="00902F97"/>
    <w:rsid w:val="00903185"/>
    <w:rsid w:val="00904B48"/>
    <w:rsid w:val="0090561B"/>
    <w:rsid w:val="0090565D"/>
    <w:rsid w:val="0090585F"/>
    <w:rsid w:val="00907B0B"/>
    <w:rsid w:val="009109EE"/>
    <w:rsid w:val="00912432"/>
    <w:rsid w:val="0092018F"/>
    <w:rsid w:val="00920CF5"/>
    <w:rsid w:val="00921040"/>
    <w:rsid w:val="009243D4"/>
    <w:rsid w:val="009267ED"/>
    <w:rsid w:val="00926861"/>
    <w:rsid w:val="00926FE5"/>
    <w:rsid w:val="0092701A"/>
    <w:rsid w:val="00930788"/>
    <w:rsid w:val="0093435C"/>
    <w:rsid w:val="00936162"/>
    <w:rsid w:val="0093672A"/>
    <w:rsid w:val="00936A71"/>
    <w:rsid w:val="00937B9D"/>
    <w:rsid w:val="00937BA9"/>
    <w:rsid w:val="00937C22"/>
    <w:rsid w:val="0094133E"/>
    <w:rsid w:val="00941418"/>
    <w:rsid w:val="00942268"/>
    <w:rsid w:val="00947F44"/>
    <w:rsid w:val="00951DBA"/>
    <w:rsid w:val="00952A06"/>
    <w:rsid w:val="00955D39"/>
    <w:rsid w:val="009572E8"/>
    <w:rsid w:val="009573EB"/>
    <w:rsid w:val="0096191E"/>
    <w:rsid w:val="00962699"/>
    <w:rsid w:val="009629F5"/>
    <w:rsid w:val="009637E6"/>
    <w:rsid w:val="00963E02"/>
    <w:rsid w:val="0096510A"/>
    <w:rsid w:val="00965FFB"/>
    <w:rsid w:val="00966D29"/>
    <w:rsid w:val="009674C0"/>
    <w:rsid w:val="00971316"/>
    <w:rsid w:val="009727E9"/>
    <w:rsid w:val="009729C7"/>
    <w:rsid w:val="00972BC7"/>
    <w:rsid w:val="0097354E"/>
    <w:rsid w:val="00974D1C"/>
    <w:rsid w:val="00974EA6"/>
    <w:rsid w:val="00975E47"/>
    <w:rsid w:val="0097686F"/>
    <w:rsid w:val="0097697D"/>
    <w:rsid w:val="009807D8"/>
    <w:rsid w:val="00981340"/>
    <w:rsid w:val="009814E0"/>
    <w:rsid w:val="00983C01"/>
    <w:rsid w:val="00984AC5"/>
    <w:rsid w:val="009851C5"/>
    <w:rsid w:val="00985B7D"/>
    <w:rsid w:val="00985B80"/>
    <w:rsid w:val="00986994"/>
    <w:rsid w:val="00987844"/>
    <w:rsid w:val="00991CCB"/>
    <w:rsid w:val="00992F31"/>
    <w:rsid w:val="00993F6B"/>
    <w:rsid w:val="00994F89"/>
    <w:rsid w:val="009950F4"/>
    <w:rsid w:val="00995739"/>
    <w:rsid w:val="00995C01"/>
    <w:rsid w:val="0099691D"/>
    <w:rsid w:val="0099769F"/>
    <w:rsid w:val="009A03D6"/>
    <w:rsid w:val="009A067A"/>
    <w:rsid w:val="009A19C0"/>
    <w:rsid w:val="009A311D"/>
    <w:rsid w:val="009A3C5A"/>
    <w:rsid w:val="009A530B"/>
    <w:rsid w:val="009A5315"/>
    <w:rsid w:val="009A614F"/>
    <w:rsid w:val="009A6664"/>
    <w:rsid w:val="009A6C0D"/>
    <w:rsid w:val="009B0022"/>
    <w:rsid w:val="009B0620"/>
    <w:rsid w:val="009B1C36"/>
    <w:rsid w:val="009B2162"/>
    <w:rsid w:val="009B2293"/>
    <w:rsid w:val="009B2BA9"/>
    <w:rsid w:val="009B57C7"/>
    <w:rsid w:val="009B5F87"/>
    <w:rsid w:val="009C0C2A"/>
    <w:rsid w:val="009C2237"/>
    <w:rsid w:val="009C28F2"/>
    <w:rsid w:val="009C28FA"/>
    <w:rsid w:val="009C4FA4"/>
    <w:rsid w:val="009C6192"/>
    <w:rsid w:val="009C7427"/>
    <w:rsid w:val="009C7B04"/>
    <w:rsid w:val="009D04A6"/>
    <w:rsid w:val="009D15A5"/>
    <w:rsid w:val="009D2A9D"/>
    <w:rsid w:val="009D448F"/>
    <w:rsid w:val="009D4BEE"/>
    <w:rsid w:val="009D6C68"/>
    <w:rsid w:val="009D6CEA"/>
    <w:rsid w:val="009D715C"/>
    <w:rsid w:val="009E0A19"/>
    <w:rsid w:val="009E1BC5"/>
    <w:rsid w:val="009E2AFE"/>
    <w:rsid w:val="009E338B"/>
    <w:rsid w:val="009E4C99"/>
    <w:rsid w:val="009E4D15"/>
    <w:rsid w:val="009E7837"/>
    <w:rsid w:val="009E7A8E"/>
    <w:rsid w:val="009E7EF9"/>
    <w:rsid w:val="009F13AD"/>
    <w:rsid w:val="009F1445"/>
    <w:rsid w:val="009F19E5"/>
    <w:rsid w:val="009F22A5"/>
    <w:rsid w:val="009F2351"/>
    <w:rsid w:val="009F2793"/>
    <w:rsid w:val="009F3F8E"/>
    <w:rsid w:val="009F6184"/>
    <w:rsid w:val="009F780E"/>
    <w:rsid w:val="009F7920"/>
    <w:rsid w:val="00A019B6"/>
    <w:rsid w:val="00A01F45"/>
    <w:rsid w:val="00A03CD0"/>
    <w:rsid w:val="00A04712"/>
    <w:rsid w:val="00A05DF5"/>
    <w:rsid w:val="00A062AF"/>
    <w:rsid w:val="00A0755C"/>
    <w:rsid w:val="00A077E8"/>
    <w:rsid w:val="00A07A5C"/>
    <w:rsid w:val="00A100CD"/>
    <w:rsid w:val="00A1158E"/>
    <w:rsid w:val="00A1314D"/>
    <w:rsid w:val="00A1518B"/>
    <w:rsid w:val="00A16336"/>
    <w:rsid w:val="00A172C3"/>
    <w:rsid w:val="00A21C96"/>
    <w:rsid w:val="00A22AB1"/>
    <w:rsid w:val="00A23EDE"/>
    <w:rsid w:val="00A251B1"/>
    <w:rsid w:val="00A27523"/>
    <w:rsid w:val="00A329CE"/>
    <w:rsid w:val="00A32D9C"/>
    <w:rsid w:val="00A3370D"/>
    <w:rsid w:val="00A3396A"/>
    <w:rsid w:val="00A33E8C"/>
    <w:rsid w:val="00A33FF7"/>
    <w:rsid w:val="00A3688C"/>
    <w:rsid w:val="00A37C1F"/>
    <w:rsid w:val="00A37D95"/>
    <w:rsid w:val="00A42C2B"/>
    <w:rsid w:val="00A42FF5"/>
    <w:rsid w:val="00A444FD"/>
    <w:rsid w:val="00A44BCB"/>
    <w:rsid w:val="00A4526F"/>
    <w:rsid w:val="00A46F7B"/>
    <w:rsid w:val="00A47061"/>
    <w:rsid w:val="00A51A83"/>
    <w:rsid w:val="00A53289"/>
    <w:rsid w:val="00A5583B"/>
    <w:rsid w:val="00A55BB2"/>
    <w:rsid w:val="00A55C19"/>
    <w:rsid w:val="00A56973"/>
    <w:rsid w:val="00A56BE3"/>
    <w:rsid w:val="00A6056F"/>
    <w:rsid w:val="00A60EDC"/>
    <w:rsid w:val="00A61131"/>
    <w:rsid w:val="00A63193"/>
    <w:rsid w:val="00A652E8"/>
    <w:rsid w:val="00A67062"/>
    <w:rsid w:val="00A70D73"/>
    <w:rsid w:val="00A7174D"/>
    <w:rsid w:val="00A71A81"/>
    <w:rsid w:val="00A72E63"/>
    <w:rsid w:val="00A7332F"/>
    <w:rsid w:val="00A75AD7"/>
    <w:rsid w:val="00A77AE2"/>
    <w:rsid w:val="00A806B2"/>
    <w:rsid w:val="00A80F29"/>
    <w:rsid w:val="00A81895"/>
    <w:rsid w:val="00A82468"/>
    <w:rsid w:val="00A84224"/>
    <w:rsid w:val="00A846AE"/>
    <w:rsid w:val="00A8556B"/>
    <w:rsid w:val="00A86A45"/>
    <w:rsid w:val="00A873BB"/>
    <w:rsid w:val="00A9138C"/>
    <w:rsid w:val="00A9171E"/>
    <w:rsid w:val="00A92212"/>
    <w:rsid w:val="00A941D0"/>
    <w:rsid w:val="00A94B5B"/>
    <w:rsid w:val="00A95C4D"/>
    <w:rsid w:val="00A96112"/>
    <w:rsid w:val="00A963F8"/>
    <w:rsid w:val="00A96F3D"/>
    <w:rsid w:val="00AA0700"/>
    <w:rsid w:val="00AA12CC"/>
    <w:rsid w:val="00AA22FF"/>
    <w:rsid w:val="00AA275B"/>
    <w:rsid w:val="00AA60BD"/>
    <w:rsid w:val="00AA63AF"/>
    <w:rsid w:val="00AA7037"/>
    <w:rsid w:val="00AB009C"/>
    <w:rsid w:val="00AB0B17"/>
    <w:rsid w:val="00AB1AC6"/>
    <w:rsid w:val="00AB47A7"/>
    <w:rsid w:val="00AB5C64"/>
    <w:rsid w:val="00AC03B8"/>
    <w:rsid w:val="00AC05B4"/>
    <w:rsid w:val="00AC19B0"/>
    <w:rsid w:val="00AC4997"/>
    <w:rsid w:val="00AC4FF8"/>
    <w:rsid w:val="00AC53F6"/>
    <w:rsid w:val="00AC661C"/>
    <w:rsid w:val="00AC6C05"/>
    <w:rsid w:val="00AC7460"/>
    <w:rsid w:val="00AC7A7C"/>
    <w:rsid w:val="00AD0B92"/>
    <w:rsid w:val="00AD0DDD"/>
    <w:rsid w:val="00AD26F6"/>
    <w:rsid w:val="00AD2E07"/>
    <w:rsid w:val="00AD3A1E"/>
    <w:rsid w:val="00AD4881"/>
    <w:rsid w:val="00AD4A79"/>
    <w:rsid w:val="00AD502A"/>
    <w:rsid w:val="00AD551A"/>
    <w:rsid w:val="00AD56C5"/>
    <w:rsid w:val="00AD616F"/>
    <w:rsid w:val="00AD6A08"/>
    <w:rsid w:val="00AD7E01"/>
    <w:rsid w:val="00AE03A6"/>
    <w:rsid w:val="00AE08C8"/>
    <w:rsid w:val="00AE0D71"/>
    <w:rsid w:val="00AE1D25"/>
    <w:rsid w:val="00AE1F4B"/>
    <w:rsid w:val="00AE2751"/>
    <w:rsid w:val="00AE3C67"/>
    <w:rsid w:val="00AE518D"/>
    <w:rsid w:val="00AE5BF8"/>
    <w:rsid w:val="00AE7238"/>
    <w:rsid w:val="00AF12C2"/>
    <w:rsid w:val="00AF16A0"/>
    <w:rsid w:val="00AF265F"/>
    <w:rsid w:val="00AF5387"/>
    <w:rsid w:val="00AF6766"/>
    <w:rsid w:val="00AF77E2"/>
    <w:rsid w:val="00AF7EEE"/>
    <w:rsid w:val="00B008BD"/>
    <w:rsid w:val="00B030FB"/>
    <w:rsid w:val="00B045F5"/>
    <w:rsid w:val="00B0523E"/>
    <w:rsid w:val="00B05F12"/>
    <w:rsid w:val="00B05F4A"/>
    <w:rsid w:val="00B1118D"/>
    <w:rsid w:val="00B116E9"/>
    <w:rsid w:val="00B1451D"/>
    <w:rsid w:val="00B145EA"/>
    <w:rsid w:val="00B14961"/>
    <w:rsid w:val="00B152FC"/>
    <w:rsid w:val="00B15F6E"/>
    <w:rsid w:val="00B1751C"/>
    <w:rsid w:val="00B17E9F"/>
    <w:rsid w:val="00B20345"/>
    <w:rsid w:val="00B22BA0"/>
    <w:rsid w:val="00B238C5"/>
    <w:rsid w:val="00B25221"/>
    <w:rsid w:val="00B263A4"/>
    <w:rsid w:val="00B269B4"/>
    <w:rsid w:val="00B276FC"/>
    <w:rsid w:val="00B3033C"/>
    <w:rsid w:val="00B34AC6"/>
    <w:rsid w:val="00B34BCF"/>
    <w:rsid w:val="00B35A2D"/>
    <w:rsid w:val="00B36A89"/>
    <w:rsid w:val="00B378CA"/>
    <w:rsid w:val="00B41375"/>
    <w:rsid w:val="00B422C3"/>
    <w:rsid w:val="00B42BA4"/>
    <w:rsid w:val="00B44499"/>
    <w:rsid w:val="00B446A7"/>
    <w:rsid w:val="00B457B4"/>
    <w:rsid w:val="00B46FC2"/>
    <w:rsid w:val="00B51438"/>
    <w:rsid w:val="00B5203E"/>
    <w:rsid w:val="00B52A2C"/>
    <w:rsid w:val="00B53696"/>
    <w:rsid w:val="00B540F9"/>
    <w:rsid w:val="00B546DB"/>
    <w:rsid w:val="00B5480E"/>
    <w:rsid w:val="00B54AF0"/>
    <w:rsid w:val="00B55341"/>
    <w:rsid w:val="00B553E7"/>
    <w:rsid w:val="00B565D4"/>
    <w:rsid w:val="00B56FB0"/>
    <w:rsid w:val="00B571F0"/>
    <w:rsid w:val="00B5792A"/>
    <w:rsid w:val="00B608B9"/>
    <w:rsid w:val="00B60A2A"/>
    <w:rsid w:val="00B60C6A"/>
    <w:rsid w:val="00B60D6A"/>
    <w:rsid w:val="00B61306"/>
    <w:rsid w:val="00B61CA7"/>
    <w:rsid w:val="00B63810"/>
    <w:rsid w:val="00B65F3E"/>
    <w:rsid w:val="00B66196"/>
    <w:rsid w:val="00B66EDF"/>
    <w:rsid w:val="00B72420"/>
    <w:rsid w:val="00B73061"/>
    <w:rsid w:val="00B73345"/>
    <w:rsid w:val="00B73E7C"/>
    <w:rsid w:val="00B776E1"/>
    <w:rsid w:val="00B8111D"/>
    <w:rsid w:val="00B81D42"/>
    <w:rsid w:val="00B8283F"/>
    <w:rsid w:val="00B82BCC"/>
    <w:rsid w:val="00B83738"/>
    <w:rsid w:val="00B83E63"/>
    <w:rsid w:val="00B8416E"/>
    <w:rsid w:val="00B84F7E"/>
    <w:rsid w:val="00B85557"/>
    <w:rsid w:val="00B86B9B"/>
    <w:rsid w:val="00B922DC"/>
    <w:rsid w:val="00B92C12"/>
    <w:rsid w:val="00B93E5A"/>
    <w:rsid w:val="00B954D6"/>
    <w:rsid w:val="00B96603"/>
    <w:rsid w:val="00B96A94"/>
    <w:rsid w:val="00B97418"/>
    <w:rsid w:val="00BA0234"/>
    <w:rsid w:val="00BA110B"/>
    <w:rsid w:val="00BA3F5F"/>
    <w:rsid w:val="00BA3F74"/>
    <w:rsid w:val="00BA54C2"/>
    <w:rsid w:val="00BA66B2"/>
    <w:rsid w:val="00BA6DFB"/>
    <w:rsid w:val="00BA7B4C"/>
    <w:rsid w:val="00BA7D22"/>
    <w:rsid w:val="00BB3C58"/>
    <w:rsid w:val="00BB4A11"/>
    <w:rsid w:val="00BB5DFD"/>
    <w:rsid w:val="00BB69B0"/>
    <w:rsid w:val="00BB6C8D"/>
    <w:rsid w:val="00BB7F2B"/>
    <w:rsid w:val="00BC11C3"/>
    <w:rsid w:val="00BC2D63"/>
    <w:rsid w:val="00BC461D"/>
    <w:rsid w:val="00BC596D"/>
    <w:rsid w:val="00BC66D5"/>
    <w:rsid w:val="00BC6CEC"/>
    <w:rsid w:val="00BD0B2E"/>
    <w:rsid w:val="00BD0C70"/>
    <w:rsid w:val="00BD1C7F"/>
    <w:rsid w:val="00BD21A5"/>
    <w:rsid w:val="00BD2A2F"/>
    <w:rsid w:val="00BD40AB"/>
    <w:rsid w:val="00BD48B8"/>
    <w:rsid w:val="00BD6D48"/>
    <w:rsid w:val="00BD7667"/>
    <w:rsid w:val="00BE02C3"/>
    <w:rsid w:val="00BE03A0"/>
    <w:rsid w:val="00BE0980"/>
    <w:rsid w:val="00BE20CC"/>
    <w:rsid w:val="00BE2BCD"/>
    <w:rsid w:val="00BE2C84"/>
    <w:rsid w:val="00BE4FB8"/>
    <w:rsid w:val="00BE5A79"/>
    <w:rsid w:val="00BE5D28"/>
    <w:rsid w:val="00BE6522"/>
    <w:rsid w:val="00BF0788"/>
    <w:rsid w:val="00BF09D8"/>
    <w:rsid w:val="00BF1674"/>
    <w:rsid w:val="00BF25AF"/>
    <w:rsid w:val="00BF28C4"/>
    <w:rsid w:val="00BF33A8"/>
    <w:rsid w:val="00BF33CC"/>
    <w:rsid w:val="00BF41B0"/>
    <w:rsid w:val="00BF5325"/>
    <w:rsid w:val="00BF537D"/>
    <w:rsid w:val="00BF5A17"/>
    <w:rsid w:val="00BF690C"/>
    <w:rsid w:val="00BF6DF8"/>
    <w:rsid w:val="00BF73B7"/>
    <w:rsid w:val="00BF73F1"/>
    <w:rsid w:val="00C00AD3"/>
    <w:rsid w:val="00C00FCA"/>
    <w:rsid w:val="00C011CB"/>
    <w:rsid w:val="00C02772"/>
    <w:rsid w:val="00C03D9F"/>
    <w:rsid w:val="00C04DC8"/>
    <w:rsid w:val="00C04E08"/>
    <w:rsid w:val="00C06547"/>
    <w:rsid w:val="00C06CE7"/>
    <w:rsid w:val="00C07314"/>
    <w:rsid w:val="00C10766"/>
    <w:rsid w:val="00C12074"/>
    <w:rsid w:val="00C13C1F"/>
    <w:rsid w:val="00C148F9"/>
    <w:rsid w:val="00C15D4C"/>
    <w:rsid w:val="00C16F70"/>
    <w:rsid w:val="00C23E3A"/>
    <w:rsid w:val="00C25A82"/>
    <w:rsid w:val="00C2604C"/>
    <w:rsid w:val="00C274C5"/>
    <w:rsid w:val="00C300BB"/>
    <w:rsid w:val="00C30C24"/>
    <w:rsid w:val="00C31CC0"/>
    <w:rsid w:val="00C358FF"/>
    <w:rsid w:val="00C3596C"/>
    <w:rsid w:val="00C35C67"/>
    <w:rsid w:val="00C36E87"/>
    <w:rsid w:val="00C37B33"/>
    <w:rsid w:val="00C424FE"/>
    <w:rsid w:val="00C4414F"/>
    <w:rsid w:val="00C4500A"/>
    <w:rsid w:val="00C457A2"/>
    <w:rsid w:val="00C4735B"/>
    <w:rsid w:val="00C47814"/>
    <w:rsid w:val="00C508A2"/>
    <w:rsid w:val="00C51AD7"/>
    <w:rsid w:val="00C51DA1"/>
    <w:rsid w:val="00C55100"/>
    <w:rsid w:val="00C5562D"/>
    <w:rsid w:val="00C55F49"/>
    <w:rsid w:val="00C57223"/>
    <w:rsid w:val="00C57477"/>
    <w:rsid w:val="00C5749D"/>
    <w:rsid w:val="00C57E61"/>
    <w:rsid w:val="00C6056B"/>
    <w:rsid w:val="00C607F0"/>
    <w:rsid w:val="00C60F13"/>
    <w:rsid w:val="00C62B9A"/>
    <w:rsid w:val="00C630C1"/>
    <w:rsid w:val="00C637FE"/>
    <w:rsid w:val="00C6440C"/>
    <w:rsid w:val="00C65013"/>
    <w:rsid w:val="00C66C98"/>
    <w:rsid w:val="00C700B8"/>
    <w:rsid w:val="00C738FA"/>
    <w:rsid w:val="00C7651F"/>
    <w:rsid w:val="00C76746"/>
    <w:rsid w:val="00C80091"/>
    <w:rsid w:val="00C807F3"/>
    <w:rsid w:val="00C81D46"/>
    <w:rsid w:val="00C84912"/>
    <w:rsid w:val="00C87FE2"/>
    <w:rsid w:val="00C90F33"/>
    <w:rsid w:val="00C9420A"/>
    <w:rsid w:val="00C97406"/>
    <w:rsid w:val="00CA0232"/>
    <w:rsid w:val="00CA0A69"/>
    <w:rsid w:val="00CA0D89"/>
    <w:rsid w:val="00CA3A49"/>
    <w:rsid w:val="00CA60C4"/>
    <w:rsid w:val="00CA64EA"/>
    <w:rsid w:val="00CA6A93"/>
    <w:rsid w:val="00CB1742"/>
    <w:rsid w:val="00CB3088"/>
    <w:rsid w:val="00CB4CA5"/>
    <w:rsid w:val="00CB5BBD"/>
    <w:rsid w:val="00CB7764"/>
    <w:rsid w:val="00CC0426"/>
    <w:rsid w:val="00CC0DA6"/>
    <w:rsid w:val="00CC4E88"/>
    <w:rsid w:val="00CC60D5"/>
    <w:rsid w:val="00CC6366"/>
    <w:rsid w:val="00CC66D4"/>
    <w:rsid w:val="00CD13FD"/>
    <w:rsid w:val="00CD355C"/>
    <w:rsid w:val="00CD488D"/>
    <w:rsid w:val="00CD4952"/>
    <w:rsid w:val="00CD4A10"/>
    <w:rsid w:val="00CD4B45"/>
    <w:rsid w:val="00CD60B6"/>
    <w:rsid w:val="00CE0048"/>
    <w:rsid w:val="00CE08B2"/>
    <w:rsid w:val="00CE0F79"/>
    <w:rsid w:val="00CE3B71"/>
    <w:rsid w:val="00CE4766"/>
    <w:rsid w:val="00CE5660"/>
    <w:rsid w:val="00CE7808"/>
    <w:rsid w:val="00CE7900"/>
    <w:rsid w:val="00CF2E96"/>
    <w:rsid w:val="00CF3229"/>
    <w:rsid w:val="00CF490E"/>
    <w:rsid w:val="00CF49CC"/>
    <w:rsid w:val="00CF5C93"/>
    <w:rsid w:val="00D00A64"/>
    <w:rsid w:val="00D0155A"/>
    <w:rsid w:val="00D01D6B"/>
    <w:rsid w:val="00D02191"/>
    <w:rsid w:val="00D02E6F"/>
    <w:rsid w:val="00D02F3C"/>
    <w:rsid w:val="00D0438E"/>
    <w:rsid w:val="00D05542"/>
    <w:rsid w:val="00D0558D"/>
    <w:rsid w:val="00D0584E"/>
    <w:rsid w:val="00D05C97"/>
    <w:rsid w:val="00D05D44"/>
    <w:rsid w:val="00D06B06"/>
    <w:rsid w:val="00D06B10"/>
    <w:rsid w:val="00D0735E"/>
    <w:rsid w:val="00D07AD8"/>
    <w:rsid w:val="00D14923"/>
    <w:rsid w:val="00D16501"/>
    <w:rsid w:val="00D16FB8"/>
    <w:rsid w:val="00D1715A"/>
    <w:rsid w:val="00D17EFD"/>
    <w:rsid w:val="00D202D8"/>
    <w:rsid w:val="00D20836"/>
    <w:rsid w:val="00D20A40"/>
    <w:rsid w:val="00D21065"/>
    <w:rsid w:val="00D220D0"/>
    <w:rsid w:val="00D22200"/>
    <w:rsid w:val="00D22357"/>
    <w:rsid w:val="00D23482"/>
    <w:rsid w:val="00D23B25"/>
    <w:rsid w:val="00D25189"/>
    <w:rsid w:val="00D3239D"/>
    <w:rsid w:val="00D32600"/>
    <w:rsid w:val="00D33606"/>
    <w:rsid w:val="00D34217"/>
    <w:rsid w:val="00D35756"/>
    <w:rsid w:val="00D35C43"/>
    <w:rsid w:val="00D36710"/>
    <w:rsid w:val="00D37527"/>
    <w:rsid w:val="00D4051D"/>
    <w:rsid w:val="00D40C93"/>
    <w:rsid w:val="00D41B23"/>
    <w:rsid w:val="00D42EE7"/>
    <w:rsid w:val="00D465E3"/>
    <w:rsid w:val="00D46DB3"/>
    <w:rsid w:val="00D472D7"/>
    <w:rsid w:val="00D50CB6"/>
    <w:rsid w:val="00D50CE5"/>
    <w:rsid w:val="00D51496"/>
    <w:rsid w:val="00D5158A"/>
    <w:rsid w:val="00D54778"/>
    <w:rsid w:val="00D548EE"/>
    <w:rsid w:val="00D54A36"/>
    <w:rsid w:val="00D55180"/>
    <w:rsid w:val="00D55ABE"/>
    <w:rsid w:val="00D56AAA"/>
    <w:rsid w:val="00D57ACE"/>
    <w:rsid w:val="00D6013F"/>
    <w:rsid w:val="00D60C35"/>
    <w:rsid w:val="00D62E2B"/>
    <w:rsid w:val="00D6348A"/>
    <w:rsid w:val="00D64E34"/>
    <w:rsid w:val="00D64E6E"/>
    <w:rsid w:val="00D65F61"/>
    <w:rsid w:val="00D6773C"/>
    <w:rsid w:val="00D6783C"/>
    <w:rsid w:val="00D72591"/>
    <w:rsid w:val="00D72C66"/>
    <w:rsid w:val="00D72CB4"/>
    <w:rsid w:val="00D7356D"/>
    <w:rsid w:val="00D73929"/>
    <w:rsid w:val="00D73D41"/>
    <w:rsid w:val="00D74CD8"/>
    <w:rsid w:val="00D775A4"/>
    <w:rsid w:val="00D77652"/>
    <w:rsid w:val="00D80BD6"/>
    <w:rsid w:val="00D80F6A"/>
    <w:rsid w:val="00D82F30"/>
    <w:rsid w:val="00D84CD8"/>
    <w:rsid w:val="00D84DD9"/>
    <w:rsid w:val="00D84DFA"/>
    <w:rsid w:val="00D855CF"/>
    <w:rsid w:val="00D8750A"/>
    <w:rsid w:val="00D87B3F"/>
    <w:rsid w:val="00D913FC"/>
    <w:rsid w:val="00D91EA6"/>
    <w:rsid w:val="00D9223F"/>
    <w:rsid w:val="00D932B8"/>
    <w:rsid w:val="00D9517A"/>
    <w:rsid w:val="00D9709C"/>
    <w:rsid w:val="00DA12E0"/>
    <w:rsid w:val="00DA2999"/>
    <w:rsid w:val="00DA5673"/>
    <w:rsid w:val="00DA636D"/>
    <w:rsid w:val="00DA73EE"/>
    <w:rsid w:val="00DA7883"/>
    <w:rsid w:val="00DB15F9"/>
    <w:rsid w:val="00DB28F2"/>
    <w:rsid w:val="00DB3F50"/>
    <w:rsid w:val="00DB5EB5"/>
    <w:rsid w:val="00DB6B66"/>
    <w:rsid w:val="00DB6EA9"/>
    <w:rsid w:val="00DB700D"/>
    <w:rsid w:val="00DB7328"/>
    <w:rsid w:val="00DB7DE3"/>
    <w:rsid w:val="00DC09ED"/>
    <w:rsid w:val="00DC2890"/>
    <w:rsid w:val="00DC3ED4"/>
    <w:rsid w:val="00DC44CA"/>
    <w:rsid w:val="00DC51A4"/>
    <w:rsid w:val="00DC51E6"/>
    <w:rsid w:val="00DC565E"/>
    <w:rsid w:val="00DC77B0"/>
    <w:rsid w:val="00DD0FB8"/>
    <w:rsid w:val="00DD10BF"/>
    <w:rsid w:val="00DD2CBE"/>
    <w:rsid w:val="00DD6556"/>
    <w:rsid w:val="00DD7954"/>
    <w:rsid w:val="00DE0FCB"/>
    <w:rsid w:val="00DE1FEC"/>
    <w:rsid w:val="00DE2218"/>
    <w:rsid w:val="00DE2B73"/>
    <w:rsid w:val="00DE36C4"/>
    <w:rsid w:val="00DE3DA4"/>
    <w:rsid w:val="00DE5A2D"/>
    <w:rsid w:val="00DF0250"/>
    <w:rsid w:val="00DF06B1"/>
    <w:rsid w:val="00DF1421"/>
    <w:rsid w:val="00DF15C2"/>
    <w:rsid w:val="00DF280C"/>
    <w:rsid w:val="00DF28D1"/>
    <w:rsid w:val="00DF40A9"/>
    <w:rsid w:val="00DF441B"/>
    <w:rsid w:val="00DF49BA"/>
    <w:rsid w:val="00DF5045"/>
    <w:rsid w:val="00DF5643"/>
    <w:rsid w:val="00DF6377"/>
    <w:rsid w:val="00E0108C"/>
    <w:rsid w:val="00E0236B"/>
    <w:rsid w:val="00E02DFE"/>
    <w:rsid w:val="00E04DE8"/>
    <w:rsid w:val="00E04F2A"/>
    <w:rsid w:val="00E074B8"/>
    <w:rsid w:val="00E076F3"/>
    <w:rsid w:val="00E1096C"/>
    <w:rsid w:val="00E13390"/>
    <w:rsid w:val="00E142FA"/>
    <w:rsid w:val="00E15B8B"/>
    <w:rsid w:val="00E15C40"/>
    <w:rsid w:val="00E166F9"/>
    <w:rsid w:val="00E20BFA"/>
    <w:rsid w:val="00E217FA"/>
    <w:rsid w:val="00E21FBC"/>
    <w:rsid w:val="00E22CCE"/>
    <w:rsid w:val="00E2420E"/>
    <w:rsid w:val="00E24C54"/>
    <w:rsid w:val="00E25E40"/>
    <w:rsid w:val="00E26DE0"/>
    <w:rsid w:val="00E30AF6"/>
    <w:rsid w:val="00E30F98"/>
    <w:rsid w:val="00E3111D"/>
    <w:rsid w:val="00E31179"/>
    <w:rsid w:val="00E32C86"/>
    <w:rsid w:val="00E34638"/>
    <w:rsid w:val="00E35C65"/>
    <w:rsid w:val="00E36AD8"/>
    <w:rsid w:val="00E36F28"/>
    <w:rsid w:val="00E3789B"/>
    <w:rsid w:val="00E37B74"/>
    <w:rsid w:val="00E41DF3"/>
    <w:rsid w:val="00E4493D"/>
    <w:rsid w:val="00E4617D"/>
    <w:rsid w:val="00E464A3"/>
    <w:rsid w:val="00E50BDD"/>
    <w:rsid w:val="00E51895"/>
    <w:rsid w:val="00E519FD"/>
    <w:rsid w:val="00E52A9E"/>
    <w:rsid w:val="00E560EE"/>
    <w:rsid w:val="00E56439"/>
    <w:rsid w:val="00E568F8"/>
    <w:rsid w:val="00E6128D"/>
    <w:rsid w:val="00E61619"/>
    <w:rsid w:val="00E6200C"/>
    <w:rsid w:val="00E63767"/>
    <w:rsid w:val="00E64A4B"/>
    <w:rsid w:val="00E65BA0"/>
    <w:rsid w:val="00E65E8D"/>
    <w:rsid w:val="00E725A3"/>
    <w:rsid w:val="00E72D27"/>
    <w:rsid w:val="00E732FF"/>
    <w:rsid w:val="00E7348A"/>
    <w:rsid w:val="00E737F6"/>
    <w:rsid w:val="00E771AD"/>
    <w:rsid w:val="00E82CE4"/>
    <w:rsid w:val="00E85A55"/>
    <w:rsid w:val="00E8621E"/>
    <w:rsid w:val="00E86AB9"/>
    <w:rsid w:val="00E91731"/>
    <w:rsid w:val="00E91C34"/>
    <w:rsid w:val="00E91CFB"/>
    <w:rsid w:val="00E94675"/>
    <w:rsid w:val="00E949B2"/>
    <w:rsid w:val="00E94D7D"/>
    <w:rsid w:val="00E97FFC"/>
    <w:rsid w:val="00EA0D5F"/>
    <w:rsid w:val="00EA0DC9"/>
    <w:rsid w:val="00EA112F"/>
    <w:rsid w:val="00EA1ADC"/>
    <w:rsid w:val="00EA4445"/>
    <w:rsid w:val="00EA58C1"/>
    <w:rsid w:val="00EB1F9E"/>
    <w:rsid w:val="00EB2D6A"/>
    <w:rsid w:val="00EB38FA"/>
    <w:rsid w:val="00EB43C7"/>
    <w:rsid w:val="00EB4867"/>
    <w:rsid w:val="00EB4D58"/>
    <w:rsid w:val="00EB506F"/>
    <w:rsid w:val="00EB722A"/>
    <w:rsid w:val="00EB75BD"/>
    <w:rsid w:val="00EB7C8F"/>
    <w:rsid w:val="00EC041E"/>
    <w:rsid w:val="00EC0FE2"/>
    <w:rsid w:val="00EC3ECC"/>
    <w:rsid w:val="00EC44AE"/>
    <w:rsid w:val="00EC4A80"/>
    <w:rsid w:val="00EC4D28"/>
    <w:rsid w:val="00EC501A"/>
    <w:rsid w:val="00EC6A63"/>
    <w:rsid w:val="00EC6A7E"/>
    <w:rsid w:val="00EC7DC1"/>
    <w:rsid w:val="00ED0487"/>
    <w:rsid w:val="00ED1AF0"/>
    <w:rsid w:val="00ED2775"/>
    <w:rsid w:val="00ED2AAA"/>
    <w:rsid w:val="00ED2BD4"/>
    <w:rsid w:val="00ED3E2A"/>
    <w:rsid w:val="00ED3FF9"/>
    <w:rsid w:val="00ED5169"/>
    <w:rsid w:val="00EE01BC"/>
    <w:rsid w:val="00EE043C"/>
    <w:rsid w:val="00EE0BD2"/>
    <w:rsid w:val="00EE2ECD"/>
    <w:rsid w:val="00EE4355"/>
    <w:rsid w:val="00EE5583"/>
    <w:rsid w:val="00EE5F27"/>
    <w:rsid w:val="00EE6E46"/>
    <w:rsid w:val="00EE72DD"/>
    <w:rsid w:val="00EE7E1B"/>
    <w:rsid w:val="00EF0392"/>
    <w:rsid w:val="00EF05FE"/>
    <w:rsid w:val="00EF29F4"/>
    <w:rsid w:val="00EF4067"/>
    <w:rsid w:val="00EF50BD"/>
    <w:rsid w:val="00EF58E6"/>
    <w:rsid w:val="00EF5BCA"/>
    <w:rsid w:val="00EF62C6"/>
    <w:rsid w:val="00EF7883"/>
    <w:rsid w:val="00F00EC2"/>
    <w:rsid w:val="00F01BF5"/>
    <w:rsid w:val="00F01DDF"/>
    <w:rsid w:val="00F01F05"/>
    <w:rsid w:val="00F031D1"/>
    <w:rsid w:val="00F0338B"/>
    <w:rsid w:val="00F04DB8"/>
    <w:rsid w:val="00F054CD"/>
    <w:rsid w:val="00F07DDF"/>
    <w:rsid w:val="00F13122"/>
    <w:rsid w:val="00F15365"/>
    <w:rsid w:val="00F16ABD"/>
    <w:rsid w:val="00F201CC"/>
    <w:rsid w:val="00F20516"/>
    <w:rsid w:val="00F2051F"/>
    <w:rsid w:val="00F21A82"/>
    <w:rsid w:val="00F225E1"/>
    <w:rsid w:val="00F240CD"/>
    <w:rsid w:val="00F263D9"/>
    <w:rsid w:val="00F26AC0"/>
    <w:rsid w:val="00F3000D"/>
    <w:rsid w:val="00F30665"/>
    <w:rsid w:val="00F3081C"/>
    <w:rsid w:val="00F3160E"/>
    <w:rsid w:val="00F414A9"/>
    <w:rsid w:val="00F42B77"/>
    <w:rsid w:val="00F42CF0"/>
    <w:rsid w:val="00F42D69"/>
    <w:rsid w:val="00F4392E"/>
    <w:rsid w:val="00F43D8C"/>
    <w:rsid w:val="00F444CC"/>
    <w:rsid w:val="00F45422"/>
    <w:rsid w:val="00F46F42"/>
    <w:rsid w:val="00F504ED"/>
    <w:rsid w:val="00F505D8"/>
    <w:rsid w:val="00F507AA"/>
    <w:rsid w:val="00F50DDC"/>
    <w:rsid w:val="00F52CEA"/>
    <w:rsid w:val="00F54A45"/>
    <w:rsid w:val="00F5637E"/>
    <w:rsid w:val="00F62B06"/>
    <w:rsid w:val="00F62B09"/>
    <w:rsid w:val="00F63C07"/>
    <w:rsid w:val="00F66987"/>
    <w:rsid w:val="00F70B1B"/>
    <w:rsid w:val="00F72295"/>
    <w:rsid w:val="00F743BE"/>
    <w:rsid w:val="00F747E6"/>
    <w:rsid w:val="00F75C34"/>
    <w:rsid w:val="00F75DB5"/>
    <w:rsid w:val="00F77277"/>
    <w:rsid w:val="00F77A21"/>
    <w:rsid w:val="00F8072F"/>
    <w:rsid w:val="00F82F2C"/>
    <w:rsid w:val="00F84174"/>
    <w:rsid w:val="00F848C2"/>
    <w:rsid w:val="00F85113"/>
    <w:rsid w:val="00F8558B"/>
    <w:rsid w:val="00F8631D"/>
    <w:rsid w:val="00F86982"/>
    <w:rsid w:val="00F872BC"/>
    <w:rsid w:val="00F87D22"/>
    <w:rsid w:val="00F93601"/>
    <w:rsid w:val="00F943F6"/>
    <w:rsid w:val="00F94E08"/>
    <w:rsid w:val="00F95149"/>
    <w:rsid w:val="00F96521"/>
    <w:rsid w:val="00F97845"/>
    <w:rsid w:val="00FA049B"/>
    <w:rsid w:val="00FA07BB"/>
    <w:rsid w:val="00FA103A"/>
    <w:rsid w:val="00FA142A"/>
    <w:rsid w:val="00FA4954"/>
    <w:rsid w:val="00FA700B"/>
    <w:rsid w:val="00FA70E2"/>
    <w:rsid w:val="00FB1DDF"/>
    <w:rsid w:val="00FB24AF"/>
    <w:rsid w:val="00FB735C"/>
    <w:rsid w:val="00FC077F"/>
    <w:rsid w:val="00FC0B81"/>
    <w:rsid w:val="00FC2849"/>
    <w:rsid w:val="00FC3306"/>
    <w:rsid w:val="00FC5621"/>
    <w:rsid w:val="00FC5C40"/>
    <w:rsid w:val="00FC60BC"/>
    <w:rsid w:val="00FD06F0"/>
    <w:rsid w:val="00FD0BC5"/>
    <w:rsid w:val="00FD1AED"/>
    <w:rsid w:val="00FD34DF"/>
    <w:rsid w:val="00FD356E"/>
    <w:rsid w:val="00FD4522"/>
    <w:rsid w:val="00FD65EE"/>
    <w:rsid w:val="00FD7A93"/>
    <w:rsid w:val="00FE0707"/>
    <w:rsid w:val="00FE14E9"/>
    <w:rsid w:val="00FE28A5"/>
    <w:rsid w:val="00FE30CF"/>
    <w:rsid w:val="00FE3AC0"/>
    <w:rsid w:val="00FE43C5"/>
    <w:rsid w:val="00FE4CA8"/>
    <w:rsid w:val="00FE6915"/>
    <w:rsid w:val="00FE78E9"/>
    <w:rsid w:val="00FF0B79"/>
    <w:rsid w:val="00FF0D3E"/>
    <w:rsid w:val="00FF37D7"/>
    <w:rsid w:val="00FF458A"/>
    <w:rsid w:val="00FF4B0D"/>
    <w:rsid w:val="00FF6C57"/>
    <w:rsid w:val="08966343"/>
    <w:rsid w:val="099525D9"/>
    <w:rsid w:val="17DE38AE"/>
    <w:rsid w:val="3C8B6A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0819076"/>
  <w15:docId w15:val="{12C732E3-2681-4CF8-AFA7-B772CE6F9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eastAsiaTheme="minorHAnsi"/>
      <w:sz w:val="22"/>
      <w:szCs w:val="22"/>
      <w:lang w:val="zh-CN" w:eastAsia="en-US"/>
    </w:rPr>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1"/>
    <w:qFormat/>
    <w:pPr>
      <w:widowControl w:val="0"/>
      <w:autoSpaceDE w:val="0"/>
      <w:autoSpaceDN w:val="0"/>
      <w:spacing w:after="0" w:line="240" w:lineRule="auto"/>
      <w:ind w:left="452"/>
      <w:outlineLvl w:val="1"/>
    </w:pPr>
    <w:rPr>
      <w:rFonts w:ascii="Times New Roman" w:eastAsia="Times New Roman" w:hAnsi="Times New Roman" w:cs="Times New Roman"/>
      <w:b/>
      <w:bCs/>
      <w:sz w:val="24"/>
      <w:szCs w:val="24"/>
      <w:lang w:val="fr-FR"/>
    </w:rPr>
  </w:style>
  <w:style w:type="paragraph" w:styleId="Titre3">
    <w:name w:val="heading 3"/>
    <w:basedOn w:val="Normal"/>
    <w:next w:val="Normal"/>
    <w:link w:val="Titre3C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Titre4">
    <w:name w:val="heading 4"/>
    <w:basedOn w:val="Normal"/>
    <w:next w:val="Normal"/>
    <w:link w:val="Titre4C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563C1" w:themeColor="hyperlink"/>
      <w:u w:val="single"/>
    </w:rPr>
  </w:style>
  <w:style w:type="character" w:styleId="Appelnotedebasdep">
    <w:name w:val="footnote reference"/>
    <w:basedOn w:val="Policepardfaut"/>
    <w:uiPriority w:val="99"/>
    <w:semiHidden/>
    <w:unhideWhenUsed/>
    <w:qFormat/>
    <w:rPr>
      <w:vertAlign w:val="superscript"/>
    </w:rPr>
  </w:style>
  <w:style w:type="character" w:styleId="lev">
    <w:name w:val="Strong"/>
    <w:basedOn w:val="Policepardfaut"/>
    <w:uiPriority w:val="22"/>
    <w:qFormat/>
    <w:rPr>
      <w:b/>
      <w:bCs/>
    </w:rPr>
  </w:style>
  <w:style w:type="character" w:styleId="Marquedecommentaire">
    <w:name w:val="annotation reference"/>
    <w:basedOn w:val="Policepardfaut"/>
    <w:uiPriority w:val="99"/>
    <w:semiHidden/>
    <w:unhideWhenUsed/>
    <w:qFormat/>
    <w:rPr>
      <w:sz w:val="16"/>
      <w:szCs w:val="16"/>
    </w:rPr>
  </w:style>
  <w:style w:type="character" w:styleId="Lienhypertextesuivivisit">
    <w:name w:val="FollowedHyperlink"/>
    <w:basedOn w:val="Policepardfaut"/>
    <w:uiPriority w:val="99"/>
    <w:semiHidden/>
    <w:unhideWhenUsed/>
    <w:qFormat/>
    <w:rPr>
      <w:color w:val="954F72" w:themeColor="followedHyperlink"/>
      <w:u w:val="single"/>
    </w:rPr>
  </w:style>
  <w:style w:type="paragraph" w:styleId="Notedebasdepage">
    <w:name w:val="footnote text"/>
    <w:basedOn w:val="Normal"/>
    <w:link w:val="NotedebasdepageCar"/>
    <w:uiPriority w:val="99"/>
    <w:semiHidden/>
    <w:unhideWhenUsed/>
    <w:qFormat/>
    <w:pPr>
      <w:spacing w:after="0"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Pr>
      <w:b/>
      <w:bCs/>
    </w:rPr>
  </w:style>
  <w:style w:type="paragraph" w:styleId="Commentaire">
    <w:name w:val="annotation text"/>
    <w:basedOn w:val="Normal"/>
    <w:link w:val="CommentaireCar"/>
    <w:uiPriority w:val="99"/>
    <w:unhideWhenUsed/>
    <w:qFormat/>
    <w:pPr>
      <w:spacing w:line="240" w:lineRule="auto"/>
    </w:pPr>
    <w:rPr>
      <w:sz w:val="20"/>
      <w:szCs w:val="20"/>
    </w:rPr>
  </w:style>
  <w:style w:type="paragraph" w:styleId="Corpsdetexte">
    <w:name w:val="Body Text"/>
    <w:basedOn w:val="Normal"/>
    <w:link w:val="CorpsdetexteCar"/>
    <w:unhideWhenUsed/>
    <w:qFormat/>
    <w:pPr>
      <w:spacing w:after="120"/>
    </w:pPr>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Corpsdetexte2">
    <w:name w:val="Body Text 2"/>
    <w:basedOn w:val="Normal"/>
    <w:link w:val="Corpsdetexte2Car"/>
    <w:uiPriority w:val="99"/>
    <w:unhideWhenUsed/>
    <w:qFormat/>
    <w:pPr>
      <w:spacing w:after="120" w:line="480" w:lineRule="auto"/>
    </w:pPr>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qFormat/>
    <w:pPr>
      <w:tabs>
        <w:tab w:val="center" w:pos="4703"/>
        <w:tab w:val="right" w:pos="9406"/>
      </w:tabs>
      <w:spacing w:after="0" w:line="240" w:lineRule="auto"/>
    </w:pPr>
  </w:style>
  <w:style w:type="paragraph" w:styleId="En-tte">
    <w:name w:val="header"/>
    <w:basedOn w:val="Normal"/>
    <w:link w:val="En-tteCar"/>
    <w:uiPriority w:val="99"/>
    <w:unhideWhenUsed/>
    <w:qFormat/>
    <w:pPr>
      <w:tabs>
        <w:tab w:val="center" w:pos="4703"/>
        <w:tab w:val="right" w:pos="9406"/>
      </w:tabs>
      <w:spacing w:after="0" w:line="240" w:lineRule="auto"/>
    </w:pPr>
  </w:style>
  <w:style w:type="table" w:styleId="Grilledutableau">
    <w:name w:val="Table Grid"/>
    <w:basedOn w:val="Tableau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paragraph" w:styleId="Paragraphedeliste">
    <w:name w:val="List Paragraph"/>
    <w:basedOn w:val="Normal"/>
    <w:link w:val="ParagraphedelisteCar"/>
    <w:qFormat/>
    <w:pPr>
      <w:ind w:left="720"/>
      <w:contextualSpacing/>
    </w:p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normaltextrun">
    <w:name w:val="normaltextrun"/>
    <w:basedOn w:val="Policepardfaut"/>
    <w:qFormat/>
  </w:style>
  <w:style w:type="paragraph" w:customStyle="1" w:styleId="paragraph">
    <w:name w:val="paragraph"/>
    <w:basedOn w:val="Normal"/>
    <w:qFormat/>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ParagraphedelisteCar">
    <w:name w:val="Paragraphe de liste Car"/>
    <w:link w:val="Paragraphedeliste"/>
    <w:uiPriority w:val="34"/>
    <w:qFormat/>
  </w:style>
  <w:style w:type="character" w:customStyle="1" w:styleId="Corpsdetexte2Car">
    <w:name w:val="Corps de texte 2 Car"/>
    <w:basedOn w:val="Policepardfaut"/>
    <w:link w:val="Corpsdetexte2"/>
    <w:uiPriority w:val="99"/>
    <w:qFormat/>
    <w:rPr>
      <w:rFonts w:ascii="Times New Roman" w:eastAsia="Times New Roman" w:hAnsi="Times New Roman" w:cs="Times New Roman"/>
      <w:sz w:val="24"/>
      <w:szCs w:val="24"/>
      <w:lang w:val="fr-FR" w:eastAsia="fr-FR"/>
    </w:rPr>
  </w:style>
  <w:style w:type="paragraph" w:customStyle="1" w:styleId="Default">
    <w:name w:val="Default"/>
    <w:qFormat/>
    <w:pPr>
      <w:autoSpaceDE w:val="0"/>
      <w:autoSpaceDN w:val="0"/>
      <w:adjustRightInd w:val="0"/>
    </w:pPr>
    <w:rPr>
      <w:rFonts w:ascii="Calibri" w:eastAsiaTheme="minorHAnsi" w:hAnsi="Calibri" w:cs="Calibri"/>
      <w:color w:val="000000"/>
      <w:sz w:val="24"/>
      <w:szCs w:val="24"/>
      <w:lang w:eastAsia="en-US"/>
    </w:rPr>
  </w:style>
  <w:style w:type="character" w:customStyle="1" w:styleId="CorpsdetexteCar">
    <w:name w:val="Corps de texte Car"/>
    <w:basedOn w:val="Policepardfaut"/>
    <w:link w:val="Corpsdetexte"/>
    <w:qFormat/>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fr-FR"/>
    </w:rPr>
  </w:style>
  <w:style w:type="character" w:customStyle="1" w:styleId="Titre2Car">
    <w:name w:val="Titre 2 Car"/>
    <w:basedOn w:val="Policepardfaut"/>
    <w:link w:val="Titre2"/>
    <w:uiPriority w:val="1"/>
    <w:qFormat/>
    <w:rPr>
      <w:rFonts w:ascii="Times New Roman" w:eastAsia="Times New Roman" w:hAnsi="Times New Roman" w:cs="Times New Roman"/>
      <w:b/>
      <w:bCs/>
      <w:sz w:val="24"/>
      <w:szCs w:val="24"/>
      <w:lang w:val="fr-FR"/>
    </w:rPr>
  </w:style>
  <w:style w:type="table" w:customStyle="1" w:styleId="TableNormal1">
    <w:name w:val="Table Normal1"/>
    <w:uiPriority w:val="2"/>
    <w:semiHidden/>
    <w:unhideWhenUsed/>
    <w:qFormat/>
    <w:pPr>
      <w:widowControl w:val="0"/>
      <w:autoSpaceDE w:val="0"/>
      <w:autoSpaceDN w:val="0"/>
    </w:pPr>
    <w:tblPr>
      <w:tblCellMar>
        <w:top w:w="0" w:type="dxa"/>
        <w:left w:w="0" w:type="dxa"/>
        <w:bottom w:w="0" w:type="dxa"/>
        <w:right w:w="0" w:type="dxa"/>
      </w:tblCellMar>
    </w:tblPr>
  </w:style>
  <w:style w:type="paragraph" w:customStyle="1" w:styleId="Rvision1">
    <w:name w:val="Révision1"/>
    <w:hidden/>
    <w:uiPriority w:val="99"/>
    <w:semiHidden/>
    <w:qFormat/>
    <w:rPr>
      <w:rFonts w:eastAsiaTheme="minorHAnsi"/>
      <w:sz w:val="22"/>
      <w:szCs w:val="22"/>
      <w:lang w:val="en-US" w:eastAsia="en-US"/>
    </w:rPr>
  </w:style>
  <w:style w:type="character" w:customStyle="1" w:styleId="CommentaireCar">
    <w:name w:val="Commentaire Car"/>
    <w:basedOn w:val="Policepardfaut"/>
    <w:link w:val="Commentaire"/>
    <w:uiPriority w:val="99"/>
    <w:qFormat/>
    <w:rPr>
      <w:rFonts w:eastAsiaTheme="minorHAnsi"/>
      <w:lang w:val="en-US" w:eastAsia="en-US"/>
    </w:rPr>
  </w:style>
  <w:style w:type="character" w:customStyle="1" w:styleId="ObjetducommentaireCar">
    <w:name w:val="Objet du commentaire Car"/>
    <w:basedOn w:val="CommentaireCar"/>
    <w:link w:val="Objetducommentaire"/>
    <w:uiPriority w:val="99"/>
    <w:semiHidden/>
    <w:qFormat/>
    <w:rPr>
      <w:rFonts w:eastAsiaTheme="minorHAnsi"/>
      <w:b/>
      <w:bCs/>
      <w:lang w:val="en-US" w:eastAsia="en-US"/>
    </w:rPr>
  </w:style>
  <w:style w:type="character" w:customStyle="1" w:styleId="Titre5Car">
    <w:name w:val="Titre 5 Car"/>
    <w:basedOn w:val="Policepardfaut"/>
    <w:link w:val="Titre5"/>
    <w:uiPriority w:val="9"/>
    <w:semiHidden/>
    <w:qFormat/>
    <w:rPr>
      <w:rFonts w:asciiTheme="majorHAnsi" w:eastAsiaTheme="majorEastAsia" w:hAnsiTheme="majorHAnsi" w:cstheme="majorBidi"/>
      <w:color w:val="2E74B5" w:themeColor="accent1" w:themeShade="BF"/>
      <w:sz w:val="22"/>
      <w:szCs w:val="22"/>
      <w:lang w:val="en-US" w:eastAsia="en-US"/>
    </w:rPr>
  </w:style>
  <w:style w:type="character" w:customStyle="1" w:styleId="Titre4Car">
    <w:name w:val="Titre 4 Car"/>
    <w:basedOn w:val="Policepardfaut"/>
    <w:link w:val="Titre4"/>
    <w:uiPriority w:val="9"/>
    <w:semiHidden/>
    <w:qFormat/>
    <w:rPr>
      <w:rFonts w:asciiTheme="majorHAnsi" w:eastAsiaTheme="majorEastAsia" w:hAnsiTheme="majorHAnsi" w:cstheme="majorBidi"/>
      <w:i/>
      <w:iCs/>
      <w:color w:val="2E74B5" w:themeColor="accent1" w:themeShade="BF"/>
      <w:sz w:val="22"/>
      <w:szCs w:val="22"/>
      <w:lang w:val="en-US" w:eastAsia="en-US"/>
    </w:rPr>
  </w:style>
  <w:style w:type="character" w:customStyle="1" w:styleId="Titre3Car">
    <w:name w:val="Titre 3 Car"/>
    <w:basedOn w:val="Policepardfaut"/>
    <w:link w:val="Titre3"/>
    <w:uiPriority w:val="9"/>
    <w:semiHidden/>
    <w:qFormat/>
    <w:rPr>
      <w:rFonts w:asciiTheme="majorHAnsi" w:eastAsiaTheme="majorEastAsia" w:hAnsiTheme="majorHAnsi" w:cstheme="majorBidi"/>
      <w:color w:val="1F4E79" w:themeColor="accent1" w:themeShade="80"/>
      <w:sz w:val="24"/>
      <w:szCs w:val="24"/>
      <w:lang w:val="en-US" w:eastAsia="en-US"/>
    </w:rPr>
  </w:style>
  <w:style w:type="character" w:customStyle="1" w:styleId="NotedebasdepageCar">
    <w:name w:val="Note de bas de page Car"/>
    <w:basedOn w:val="Policepardfaut"/>
    <w:link w:val="Notedebasdepage"/>
    <w:uiPriority w:val="99"/>
    <w:semiHidden/>
    <w:qFormat/>
    <w:rPr>
      <w:rFonts w:eastAsiaTheme="minorHAnsi"/>
      <w:lang w:val="zh-CN" w:eastAsia="en-US"/>
    </w:rPr>
  </w:style>
  <w:style w:type="table" w:customStyle="1" w:styleId="TableauGrille1Clair1">
    <w:name w:val="Tableau Grille 1 Clair1"/>
    <w:basedOn w:val="TableauNormal"/>
    <w:uiPriority w:val="46"/>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tionnonrsolue1">
    <w:name w:val="Mention non résolue1"/>
    <w:basedOn w:val="Policepardfaut"/>
    <w:uiPriority w:val="99"/>
    <w:semiHidden/>
    <w:unhideWhenUsed/>
    <w:qFormat/>
    <w:rPr>
      <w:color w:val="605E5C"/>
      <w:shd w:val="clear" w:color="auto" w:fill="E1DFDD"/>
    </w:rPr>
  </w:style>
  <w:style w:type="character" w:customStyle="1" w:styleId="Titre1Car">
    <w:name w:val="Titre 1 Car"/>
    <w:basedOn w:val="Policepardfaut"/>
    <w:link w:val="Titre1"/>
    <w:uiPriority w:val="9"/>
    <w:qFormat/>
    <w:rPr>
      <w:rFonts w:asciiTheme="majorHAnsi" w:eastAsiaTheme="majorEastAsia" w:hAnsiTheme="majorHAnsi" w:cstheme="majorBidi"/>
      <w:color w:val="2E74B5" w:themeColor="accent1" w:themeShade="BF"/>
      <w:sz w:val="32"/>
      <w:szCs w:val="32"/>
      <w:lang w:val="zh-CN" w:eastAsia="en-US"/>
    </w:rPr>
  </w:style>
  <w:style w:type="character" w:customStyle="1" w:styleId="Mentionnonrsolue2">
    <w:name w:val="Mention non résolue2"/>
    <w:basedOn w:val="Policepardfaut"/>
    <w:uiPriority w:val="99"/>
    <w:semiHidden/>
    <w:unhideWhenUsed/>
    <w:qFormat/>
    <w:rPr>
      <w:color w:val="605E5C"/>
      <w:shd w:val="clear" w:color="auto" w:fill="E1DFDD"/>
    </w:rPr>
  </w:style>
  <w:style w:type="paragraph" w:styleId="Rvision">
    <w:name w:val="Revision"/>
    <w:hidden/>
    <w:uiPriority w:val="99"/>
    <w:semiHidden/>
    <w:rsid w:val="00E91CFB"/>
    <w:rPr>
      <w:rFonts w:eastAsiaTheme="minorHAnsi"/>
      <w:sz w:val="22"/>
      <w:szCs w:val="22"/>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bd.int/abs/text/articles?sec=abs-22" TargetMode="External"/><Relationship Id="rId18" Type="http://schemas.openxmlformats.org/officeDocument/2006/relationships/hyperlink" Target="https://1drv.ms/f/c/3027326f2fe4e330/IgAaviV3ISMHRbul-rcJUG5jAbNaKqZZ-S6_yzjcMciyLzo?e=wF89od"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1drv.ms/f/c/3027326f2fe4e330/IgAaviV3ISMHRbul-rcJUG5jAbNaKqZZ-S6_yzjcMciyLzo?e=wF89od" TargetMode="External"/><Relationship Id="rId7" Type="http://schemas.openxmlformats.org/officeDocument/2006/relationships/footnotes" Target="footnotes.xml"/><Relationship Id="rId12" Type="http://schemas.openxmlformats.org/officeDocument/2006/relationships/hyperlink" Target="https://ma.chm-cbd.net/protocole-nagoya" TargetMode="External"/><Relationship Id="rId17" Type="http://schemas.openxmlformats.org/officeDocument/2006/relationships/hyperlink" Target="https://1drv.ms/f/c/3027326f2fe4e330/IgAaviV3ISMHRbul-rcJUG5jAbNaKqZZ-S6_yzjcMciyLzo?e=wF89od" TargetMode="External"/><Relationship Id="rId25" Type="http://schemas.openxmlformats.org/officeDocument/2006/relationships/hyperlink" Target="https://1drv.ms/f/c/3027326f2fe4e330/IgAaviV3ISMHRbul-rcJUG5jAbNaKqZZ-S6_yzjcMciyLzo?e=wF89od" TargetMode="External"/><Relationship Id="rId2" Type="http://schemas.openxmlformats.org/officeDocument/2006/relationships/customXml" Target="../customXml/item2.xml"/><Relationship Id="rId16" Type="http://schemas.openxmlformats.org/officeDocument/2006/relationships/hyperlink" Target="https://1drv.ms/f/c/3027326f2fe4e330/IgAaviV3ISMHRbul-rcJUG5jAbNaKqZZ-S6_yzjcMciyLzo?e=wF89od" TargetMode="External"/><Relationship Id="rId20" Type="http://schemas.openxmlformats.org/officeDocument/2006/relationships/hyperlink" Target="https://1drv.ms/f/c/3027326f2fe4e330/IgAaviV3ISMHRbul-rcJUG5jAbNaKqZZ-S6_yzjcMciyLzo?e=wF89o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chm-cbd.ne" TargetMode="External"/><Relationship Id="rId24" Type="http://schemas.openxmlformats.org/officeDocument/2006/relationships/hyperlink" Target="https://1drv.ms/f/c/3027326f2fe4e330/IgAaviV3ISMHRbul-rcJUG5jAbNaKqZZ-S6_yzjcMciyLzo?e=wF89od" TargetMode="External"/><Relationship Id="rId5" Type="http://schemas.openxmlformats.org/officeDocument/2006/relationships/settings" Target="settings.xml"/><Relationship Id="rId15" Type="http://schemas.openxmlformats.org/officeDocument/2006/relationships/hyperlink" Target="https://1drv.ms/f/c/3027326f2fe4e330/IgAaviV3ISMHRbul-rcJUG5jAbNaKqZZ-S6_yzjcMciyLzo?e=wF89od" TargetMode="External"/><Relationship Id="rId23" Type="http://schemas.openxmlformats.org/officeDocument/2006/relationships/hyperlink" Target="mailto:projetapaii@environnement.gov.ma" TargetMode="External"/><Relationship Id="rId28" Type="http://schemas.openxmlformats.org/officeDocument/2006/relationships/fontTable" Target="fontTable.xml"/><Relationship Id="rId10" Type="http://schemas.openxmlformats.org/officeDocument/2006/relationships/hyperlink" Target="https://1drv.ms/f/c/3027326f2fe4e330/IgAaviV3ISMHRbul-rcJUG5jAbNaKqZZ-S6_yzjcMciyLzo?e=wF89od" TargetMode="External"/><Relationship Id="rId19" Type="http://schemas.openxmlformats.org/officeDocument/2006/relationships/hyperlink" Target="https://ma.chm-cbd.net/protocole-nagoya" TargetMode="External"/><Relationship Id="rId4" Type="http://schemas.openxmlformats.org/officeDocument/2006/relationships/styles" Target="styles.xml"/><Relationship Id="rId9" Type="http://schemas.openxmlformats.org/officeDocument/2006/relationships/hyperlink" Target="mailto:projetapaii@environnement.gov.ma" TargetMode="External"/><Relationship Id="rId14" Type="http://schemas.openxmlformats.org/officeDocument/2006/relationships/hyperlink" Target="https://1drv.ms/f/c/3027326f2fe4e330/IgAaviV3ISMHRbul-rcJUG5jAbNaKqZZ-S6_yzjcMciyLzo?e=wF89od" TargetMode="External"/><Relationship Id="rId22" Type="http://schemas.openxmlformats.org/officeDocument/2006/relationships/hyperlink" Target="https://1drv.ms/f/c/3027326f2fe4e330/IgAaviV3ISMHRbul-rcJUG5jAbNaKqZZ-S6_yzjcMciyLzo?e=wF89od"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FF46B3-2520-4F18-B42C-4844C72C1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11416</Words>
  <Characters>62793</Characters>
  <Application>Microsoft Office Word</Application>
  <DocSecurity>0</DocSecurity>
  <Lines>523</Lines>
  <Paragraphs>148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 Benhima</dc:creator>
  <cp:lastModifiedBy>kenza zouity</cp:lastModifiedBy>
  <cp:revision>2</cp:revision>
  <cp:lastPrinted>2026-06-18T16:01:00Z</cp:lastPrinted>
  <dcterms:created xsi:type="dcterms:W3CDTF">2026-07-22T15:21:00Z</dcterms:created>
  <dcterms:modified xsi:type="dcterms:W3CDTF">2026-07-22T15:21:00Z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1036-12.1.0.26880</vt:lpwstr>
  </property>
  <property fmtid="{D5CDD505-2E9C-101B-9397-08002B2CF9AE}" pid="3" name="ICV">
    <vt:lpwstr>4D1A0479D3144571AE7E09928F7C20C4_13</vt:lpwstr>
  </property>
  <property fmtid="{D5CDD505-2E9C-101B-9397-08002B2CF9AE}" pid="4" name="KSOTemplateDocerSaveRecord">
    <vt:lpwstr>eyJoZGlkIjoiYzM0OTc3ZTRlM2Y1MjIxZmI0Nzk0ODZhZjg4ZDFlZjAiLCJ1c2VySWQiOiIxNjY2NTE4MjYzNDM1In0=</vt:lpwstr>
  </property>
</Properties>
</file>